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1867" w14:textId="77777777" w:rsidR="006571A8" w:rsidRPr="003E66CB" w:rsidRDefault="006571A8" w:rsidP="00482C30">
      <w:pPr>
        <w:pStyle w:val="Textbody"/>
        <w:spacing w:after="0"/>
        <w:ind w:firstLine="3963"/>
        <w:jc w:val="right"/>
        <w:rPr>
          <w:rFonts w:ascii="Times New Roman" w:hAnsi="Times New Roman" w:cs="Times New Roman"/>
          <w:color w:val="auto"/>
          <w:sz w:val="24"/>
          <w:szCs w:val="24"/>
          <w:shd w:val="clear" w:color="auto" w:fill="FFFFFF"/>
          <w:lang w:val="uk-UA"/>
        </w:rPr>
      </w:pPr>
    </w:p>
    <w:p w14:paraId="34303FDF" w14:textId="11FC3067" w:rsidR="00716A67" w:rsidRDefault="00716A67" w:rsidP="00716A67">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Додаток 3</w:t>
      </w:r>
    </w:p>
    <w:p w14:paraId="3A0F1F89" w14:textId="77777777" w:rsidR="00716A67" w:rsidRDefault="00716A67" w:rsidP="00716A67">
      <w:pPr>
        <w:pStyle w:val="Textbody"/>
        <w:spacing w:after="0" w:line="240" w:lineRule="auto"/>
        <w:ind w:firstLine="3963"/>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до Методики проведення аналізу впливу</w:t>
      </w:r>
    </w:p>
    <w:p w14:paraId="71399638" w14:textId="77777777" w:rsidR="00716A67" w:rsidRDefault="00716A67" w:rsidP="00716A67">
      <w:pPr>
        <w:pStyle w:val="Textbody"/>
        <w:spacing w:after="0" w:line="240" w:lineRule="auto"/>
        <w:ind w:firstLine="3950"/>
        <w:jc w:val="center"/>
        <w:rPr>
          <w:rFonts w:ascii="Times New Roman" w:hAnsi="Times New Roman" w:cs="Times New Roman"/>
          <w:color w:val="auto"/>
          <w:sz w:val="26"/>
          <w:szCs w:val="26"/>
          <w:shd w:val="clear" w:color="auto" w:fill="FFFFFF"/>
          <w:lang w:val="uk-UA"/>
        </w:rPr>
      </w:pPr>
      <w:r>
        <w:rPr>
          <w:rFonts w:ascii="Times New Roman" w:hAnsi="Times New Roman" w:cs="Times New Roman"/>
          <w:sz w:val="26"/>
          <w:szCs w:val="26"/>
          <w:shd w:val="clear" w:color="auto" w:fill="FFFFFF"/>
          <w:lang w:val="uk-UA"/>
        </w:rPr>
        <w:t>регуляторного акта</w:t>
      </w:r>
    </w:p>
    <w:p w14:paraId="07C1671F" w14:textId="77777777" w:rsidR="00716A67" w:rsidRDefault="00716A67" w:rsidP="006571A8">
      <w:pPr>
        <w:pStyle w:val="Textbody"/>
        <w:spacing w:after="0" w:line="240" w:lineRule="auto"/>
        <w:jc w:val="center"/>
        <w:rPr>
          <w:rFonts w:ascii="Times New Roman" w:hAnsi="Times New Roman" w:cs="Times New Roman"/>
          <w:b/>
          <w:color w:val="auto"/>
          <w:sz w:val="24"/>
          <w:szCs w:val="24"/>
          <w:shd w:val="clear" w:color="auto" w:fill="FFFFFF"/>
          <w:lang w:val="uk-UA"/>
        </w:rPr>
      </w:pPr>
    </w:p>
    <w:p w14:paraId="3A06B6E1" w14:textId="77777777" w:rsidR="00716A67" w:rsidRDefault="00716A67" w:rsidP="006571A8">
      <w:pPr>
        <w:pStyle w:val="Textbody"/>
        <w:spacing w:after="0" w:line="240" w:lineRule="auto"/>
        <w:jc w:val="center"/>
        <w:rPr>
          <w:rFonts w:ascii="Times New Roman" w:hAnsi="Times New Roman" w:cs="Times New Roman"/>
          <w:b/>
          <w:color w:val="auto"/>
          <w:sz w:val="24"/>
          <w:szCs w:val="24"/>
          <w:shd w:val="clear" w:color="auto" w:fill="FFFFFF"/>
          <w:lang w:val="uk-UA"/>
        </w:rPr>
      </w:pPr>
    </w:p>
    <w:p w14:paraId="743A00BB" w14:textId="219DB3C8" w:rsidR="00482C30" w:rsidRPr="003E66CB" w:rsidRDefault="00482C30" w:rsidP="006571A8">
      <w:pPr>
        <w:pStyle w:val="Textbody"/>
        <w:spacing w:after="0" w:line="240" w:lineRule="auto"/>
        <w:jc w:val="center"/>
        <w:rPr>
          <w:rFonts w:ascii="Times New Roman" w:hAnsi="Times New Roman" w:cs="Times New Roman"/>
          <w:b/>
          <w:color w:val="auto"/>
          <w:sz w:val="24"/>
          <w:szCs w:val="24"/>
          <w:shd w:val="clear" w:color="auto" w:fill="FFFFFF"/>
          <w:lang w:val="uk-UA"/>
        </w:rPr>
      </w:pPr>
      <w:r w:rsidRPr="003E66CB">
        <w:rPr>
          <w:rFonts w:ascii="Times New Roman" w:hAnsi="Times New Roman" w:cs="Times New Roman"/>
          <w:b/>
          <w:color w:val="auto"/>
          <w:sz w:val="24"/>
          <w:szCs w:val="24"/>
          <w:shd w:val="clear" w:color="auto" w:fill="FFFFFF"/>
          <w:lang w:val="uk-UA"/>
        </w:rPr>
        <w:t>БЮДЖЕТНІ ВИТРАТИ</w:t>
      </w:r>
    </w:p>
    <w:p w14:paraId="703AF38D" w14:textId="77777777" w:rsidR="00482C30" w:rsidRPr="003E66CB" w:rsidRDefault="00482C30" w:rsidP="006571A8">
      <w:pPr>
        <w:spacing w:line="240" w:lineRule="auto"/>
        <w:jc w:val="center"/>
        <w:rPr>
          <w:rFonts w:ascii="Times New Roman" w:hAnsi="Times New Roman" w:cs="Times New Roman"/>
          <w:b/>
          <w:color w:val="auto"/>
          <w:sz w:val="24"/>
          <w:szCs w:val="24"/>
          <w:shd w:val="clear" w:color="auto" w:fill="FFFFFF"/>
          <w:lang w:val="uk-UA"/>
        </w:rPr>
      </w:pPr>
      <w:r w:rsidRPr="003E66CB">
        <w:rPr>
          <w:rFonts w:ascii="Times New Roman" w:hAnsi="Times New Roman" w:cs="Times New Roman"/>
          <w:b/>
          <w:color w:val="auto"/>
          <w:sz w:val="24"/>
          <w:szCs w:val="24"/>
          <w:shd w:val="clear" w:color="auto" w:fill="FFFFFF"/>
          <w:lang w:val="uk-UA"/>
        </w:rPr>
        <w:t>на адміністрування регулювання для суб'єктів великого і середнього підприємництва</w:t>
      </w:r>
    </w:p>
    <w:p w14:paraId="209E5E89" w14:textId="77777777" w:rsidR="006571A8" w:rsidRDefault="006571A8" w:rsidP="006571A8">
      <w:pPr>
        <w:pStyle w:val="Textbody"/>
        <w:spacing w:after="0" w:line="240" w:lineRule="auto"/>
        <w:rPr>
          <w:rFonts w:ascii="Times New Roman" w:hAnsi="Times New Roman" w:cs="Times New Roman"/>
          <w:color w:val="auto"/>
          <w:sz w:val="24"/>
          <w:szCs w:val="24"/>
          <w:shd w:val="clear" w:color="auto" w:fill="FFFFFF"/>
          <w:lang w:val="uk-UA"/>
        </w:rPr>
      </w:pPr>
    </w:p>
    <w:p w14:paraId="769D806A" w14:textId="77777777" w:rsidR="00482C30" w:rsidRPr="003E66CB" w:rsidRDefault="00482C30" w:rsidP="006571A8">
      <w:pPr>
        <w:pStyle w:val="Textbody"/>
        <w:spacing w:after="160"/>
        <w:ind w:firstLine="708"/>
        <w:rPr>
          <w:rFonts w:ascii="Times New Roman" w:hAnsi="Times New Roman" w:cs="Times New Roman"/>
          <w:color w:val="auto"/>
          <w:sz w:val="24"/>
          <w:szCs w:val="24"/>
          <w:shd w:val="clear" w:color="auto" w:fill="FFFFFF"/>
          <w:lang w:val="uk-UA"/>
        </w:rPr>
      </w:pPr>
      <w:r w:rsidRPr="003E66CB">
        <w:rPr>
          <w:rFonts w:ascii="Times New Roman" w:hAnsi="Times New Roman" w:cs="Times New Roman"/>
          <w:color w:val="auto"/>
          <w:sz w:val="24"/>
          <w:szCs w:val="24"/>
          <w:shd w:val="clear" w:color="auto" w:fill="FFFFFF"/>
          <w:lang w:val="uk-UA"/>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135449C3" w14:textId="77777777" w:rsidR="00482C30" w:rsidRPr="003D09E2" w:rsidRDefault="00482C30" w:rsidP="00482C30">
      <w:pPr>
        <w:pStyle w:val="Textbody"/>
        <w:spacing w:after="160"/>
        <w:rPr>
          <w:rFonts w:ascii="Times New Roman" w:hAnsi="Times New Roman" w:cs="Times New Roman"/>
          <w:bCs/>
          <w:color w:val="auto"/>
          <w:sz w:val="24"/>
          <w:szCs w:val="24"/>
          <w:shd w:val="clear" w:color="auto" w:fill="FFFFFF"/>
          <w:lang w:val="uk-UA"/>
        </w:rPr>
      </w:pPr>
      <w:r w:rsidRPr="003D09E2">
        <w:rPr>
          <w:rFonts w:ascii="Times New Roman" w:hAnsi="Times New Roman" w:cs="Times New Roman"/>
          <w:bCs/>
          <w:color w:val="auto"/>
          <w:sz w:val="24"/>
          <w:szCs w:val="24"/>
          <w:shd w:val="clear" w:color="auto" w:fill="FFFFFF"/>
          <w:lang w:val="uk-UA"/>
        </w:rPr>
        <w:t>Державн</w:t>
      </w:r>
      <w:r w:rsidR="003D09E2">
        <w:rPr>
          <w:rFonts w:ascii="Times New Roman" w:hAnsi="Times New Roman" w:cs="Times New Roman"/>
          <w:bCs/>
          <w:color w:val="auto"/>
          <w:sz w:val="24"/>
          <w:szCs w:val="24"/>
          <w:shd w:val="clear" w:color="auto" w:fill="FFFFFF"/>
          <w:lang w:val="uk-UA"/>
        </w:rPr>
        <w:t>і</w:t>
      </w:r>
      <w:r w:rsidRPr="003D09E2">
        <w:rPr>
          <w:rFonts w:ascii="Times New Roman" w:hAnsi="Times New Roman" w:cs="Times New Roman"/>
          <w:bCs/>
          <w:color w:val="auto"/>
          <w:sz w:val="24"/>
          <w:szCs w:val="24"/>
          <w:shd w:val="clear" w:color="auto" w:fill="FFFFFF"/>
          <w:lang w:val="uk-UA"/>
        </w:rPr>
        <w:t xml:space="preserve"> орган</w:t>
      </w:r>
      <w:r w:rsidR="003D09E2">
        <w:rPr>
          <w:rFonts w:ascii="Times New Roman" w:hAnsi="Times New Roman" w:cs="Times New Roman"/>
          <w:bCs/>
          <w:color w:val="auto"/>
          <w:sz w:val="24"/>
          <w:szCs w:val="24"/>
          <w:shd w:val="clear" w:color="auto" w:fill="FFFFFF"/>
          <w:lang w:val="uk-UA"/>
        </w:rPr>
        <w:t>и</w:t>
      </w:r>
      <w:r w:rsidRPr="003D09E2">
        <w:rPr>
          <w:rFonts w:ascii="Times New Roman" w:hAnsi="Times New Roman" w:cs="Times New Roman"/>
          <w:bCs/>
          <w:color w:val="auto"/>
          <w:sz w:val="24"/>
          <w:szCs w:val="24"/>
          <w:shd w:val="clear" w:color="auto" w:fill="FFFFFF"/>
          <w:lang w:val="uk-UA"/>
        </w:rPr>
        <w:t>, для як</w:t>
      </w:r>
      <w:r w:rsidR="003D09E2">
        <w:rPr>
          <w:rFonts w:ascii="Times New Roman" w:hAnsi="Times New Roman" w:cs="Times New Roman"/>
          <w:bCs/>
          <w:color w:val="auto"/>
          <w:sz w:val="24"/>
          <w:szCs w:val="24"/>
          <w:shd w:val="clear" w:color="auto" w:fill="FFFFFF"/>
          <w:lang w:val="uk-UA"/>
        </w:rPr>
        <w:t>их</w:t>
      </w:r>
      <w:r w:rsidRPr="003D09E2">
        <w:rPr>
          <w:rFonts w:ascii="Times New Roman" w:hAnsi="Times New Roman" w:cs="Times New Roman"/>
          <w:bCs/>
          <w:color w:val="auto"/>
          <w:sz w:val="24"/>
          <w:szCs w:val="24"/>
          <w:shd w:val="clear" w:color="auto" w:fill="FFFFFF"/>
          <w:lang w:val="uk-UA"/>
        </w:rPr>
        <w:t xml:space="preserve"> здійснюється розрахунок адміністрування регулювання:</w:t>
      </w:r>
    </w:p>
    <w:p w14:paraId="239E7D02" w14:textId="77777777" w:rsidR="002772CD" w:rsidRPr="00F34A4A" w:rsidRDefault="002151F8" w:rsidP="00CB47F4">
      <w:pPr>
        <w:pStyle w:val="Textbody"/>
        <w:spacing w:after="160"/>
        <w:ind w:firstLine="708"/>
        <w:jc w:val="both"/>
        <w:rPr>
          <w:rFonts w:ascii="Times New Roman" w:hAnsi="Times New Roman" w:cs="Times New Roman"/>
          <w:color w:val="333333"/>
          <w:sz w:val="24"/>
          <w:szCs w:val="24"/>
          <w:shd w:val="clear" w:color="auto" w:fill="FFFFFF"/>
          <w:lang w:val="uk-UA"/>
        </w:rPr>
      </w:pPr>
      <w:r w:rsidRPr="00F34A4A">
        <w:rPr>
          <w:rFonts w:ascii="Times New Roman" w:hAnsi="Times New Roman" w:cs="Times New Roman"/>
          <w:color w:val="auto"/>
          <w:sz w:val="24"/>
          <w:szCs w:val="24"/>
          <w:lang w:val="uk-UA"/>
        </w:rPr>
        <w:t xml:space="preserve">Центральний орган </w:t>
      </w:r>
      <w:r w:rsidR="002772CD" w:rsidRPr="00F34A4A">
        <w:rPr>
          <w:rFonts w:ascii="Times New Roman" w:hAnsi="Times New Roman" w:cs="Times New Roman"/>
          <w:color w:val="333333"/>
          <w:sz w:val="24"/>
          <w:szCs w:val="24"/>
          <w:shd w:val="clear" w:color="auto" w:fill="FFFFFF"/>
          <w:lang w:val="uk-UA"/>
        </w:rPr>
        <w:t xml:space="preserve"> виконавчої влади, що реалізує державну політику у сфері дорожнього господарства та управління автомобільними дорогами загального к</w:t>
      </w:r>
      <w:r w:rsidR="00CB47F4" w:rsidRPr="00F34A4A">
        <w:rPr>
          <w:rFonts w:ascii="Times New Roman" w:hAnsi="Times New Roman" w:cs="Times New Roman"/>
          <w:color w:val="333333"/>
          <w:sz w:val="24"/>
          <w:szCs w:val="24"/>
          <w:shd w:val="clear" w:color="auto" w:fill="FFFFFF"/>
          <w:lang w:val="uk-UA"/>
        </w:rPr>
        <w:t>ористування державного значення.</w:t>
      </w:r>
    </w:p>
    <w:p w14:paraId="122E6DED" w14:textId="0A337348" w:rsidR="000F21E3" w:rsidRDefault="00BF0845" w:rsidP="00CB47F4">
      <w:pPr>
        <w:pStyle w:val="Textbody"/>
        <w:spacing w:after="160"/>
        <w:ind w:firstLine="708"/>
        <w:jc w:val="both"/>
        <w:rPr>
          <w:rFonts w:ascii="Times New Roman" w:hAnsi="Times New Roman" w:cs="Times New Roman"/>
          <w:color w:val="333333"/>
          <w:sz w:val="24"/>
          <w:szCs w:val="24"/>
          <w:shd w:val="clear" w:color="auto" w:fill="FFFFFF"/>
          <w:lang w:val="uk-UA"/>
        </w:rPr>
      </w:pPr>
      <w:r w:rsidRPr="00F34A4A">
        <w:rPr>
          <w:rFonts w:ascii="Times New Roman" w:hAnsi="Times New Roman" w:cs="Times New Roman"/>
          <w:color w:val="333333"/>
          <w:sz w:val="24"/>
          <w:szCs w:val="24"/>
          <w:shd w:val="clear" w:color="auto" w:fill="FFFFFF"/>
          <w:lang w:val="uk-UA"/>
        </w:rPr>
        <w:t>Рада міністрів Автономної Республіки Крим та обласні державних адміністрацій щодо управління автомобільними дорогами загального користування місцевого значення</w:t>
      </w:r>
      <w:r w:rsidR="000F21E3" w:rsidRPr="00F34A4A">
        <w:rPr>
          <w:rFonts w:ascii="Times New Roman" w:hAnsi="Times New Roman" w:cs="Times New Roman"/>
          <w:color w:val="333333"/>
          <w:sz w:val="24"/>
          <w:szCs w:val="24"/>
          <w:shd w:val="clear" w:color="auto" w:fill="FFFFFF"/>
          <w:lang w:val="uk-UA"/>
        </w:rPr>
        <w:t xml:space="preserve"> за аналогом розрахунків витрат для </w:t>
      </w:r>
      <w:r w:rsidR="004241F6" w:rsidRPr="00F34A4A">
        <w:rPr>
          <w:rFonts w:ascii="Times New Roman" w:hAnsi="Times New Roman" w:cs="Times New Roman"/>
          <w:color w:val="333333"/>
          <w:sz w:val="24"/>
          <w:szCs w:val="24"/>
          <w:shd w:val="clear" w:color="auto" w:fill="FFFFFF"/>
          <w:lang w:val="uk-UA"/>
        </w:rPr>
        <w:t>ц</w:t>
      </w:r>
      <w:r w:rsidR="000F21E3" w:rsidRPr="00F34A4A">
        <w:rPr>
          <w:rFonts w:ascii="Times New Roman" w:hAnsi="Times New Roman" w:cs="Times New Roman"/>
          <w:color w:val="auto"/>
          <w:sz w:val="24"/>
          <w:szCs w:val="24"/>
          <w:lang w:val="uk-UA"/>
        </w:rPr>
        <w:t>ентрального орган</w:t>
      </w:r>
      <w:r w:rsidR="004241F6" w:rsidRPr="00F34A4A">
        <w:rPr>
          <w:rFonts w:ascii="Times New Roman" w:hAnsi="Times New Roman" w:cs="Times New Roman"/>
          <w:color w:val="auto"/>
          <w:sz w:val="24"/>
          <w:szCs w:val="24"/>
          <w:lang w:val="uk-UA"/>
        </w:rPr>
        <w:t>у</w:t>
      </w:r>
      <w:r w:rsidR="000F21E3" w:rsidRPr="00F34A4A">
        <w:rPr>
          <w:rFonts w:ascii="Times New Roman" w:hAnsi="Times New Roman" w:cs="Times New Roman"/>
          <w:color w:val="auto"/>
          <w:sz w:val="24"/>
          <w:szCs w:val="24"/>
          <w:lang w:val="uk-UA"/>
        </w:rPr>
        <w:t xml:space="preserve"> </w:t>
      </w:r>
      <w:r w:rsidR="000F21E3" w:rsidRPr="00F34A4A">
        <w:rPr>
          <w:rFonts w:ascii="Times New Roman" w:hAnsi="Times New Roman" w:cs="Times New Roman"/>
          <w:color w:val="333333"/>
          <w:sz w:val="24"/>
          <w:szCs w:val="24"/>
          <w:shd w:val="clear" w:color="auto" w:fill="FFFFFF"/>
          <w:lang w:val="uk-UA"/>
        </w:rPr>
        <w:t>виконавчої влади, що реалізує державну політику у сфері дорожнього господарства та управління автомобільними дорогами загального к</w:t>
      </w:r>
      <w:r w:rsidR="00CB47F4" w:rsidRPr="00F34A4A">
        <w:rPr>
          <w:rFonts w:ascii="Times New Roman" w:hAnsi="Times New Roman" w:cs="Times New Roman"/>
          <w:color w:val="333333"/>
          <w:sz w:val="24"/>
          <w:szCs w:val="24"/>
          <w:shd w:val="clear" w:color="auto" w:fill="FFFFFF"/>
          <w:lang w:val="uk-UA"/>
        </w:rPr>
        <w:t xml:space="preserve">ористування </w:t>
      </w:r>
      <w:r w:rsidR="00F34A4A">
        <w:rPr>
          <w:rFonts w:ascii="Times New Roman" w:hAnsi="Times New Roman" w:cs="Times New Roman"/>
          <w:color w:val="333333"/>
          <w:sz w:val="24"/>
          <w:szCs w:val="24"/>
          <w:shd w:val="clear" w:color="auto" w:fill="FFFFFF"/>
          <w:lang w:val="uk-UA"/>
        </w:rPr>
        <w:t>місцевого</w:t>
      </w:r>
      <w:r w:rsidR="00CB47F4" w:rsidRPr="00F34A4A">
        <w:rPr>
          <w:rFonts w:ascii="Times New Roman" w:hAnsi="Times New Roman" w:cs="Times New Roman"/>
          <w:color w:val="333333"/>
          <w:sz w:val="24"/>
          <w:szCs w:val="24"/>
          <w:shd w:val="clear" w:color="auto" w:fill="FFFFFF"/>
          <w:lang w:val="uk-UA"/>
        </w:rPr>
        <w:t xml:space="preserve"> значення.</w:t>
      </w:r>
    </w:p>
    <w:p w14:paraId="068CD7D1" w14:textId="77777777" w:rsidR="004C6AD2" w:rsidRPr="00F34A4A" w:rsidRDefault="004C6AD2" w:rsidP="00CB47F4">
      <w:pPr>
        <w:pStyle w:val="Textbody"/>
        <w:spacing w:after="160"/>
        <w:ind w:firstLine="708"/>
        <w:jc w:val="both"/>
        <w:rPr>
          <w:rFonts w:ascii="Times New Roman" w:hAnsi="Times New Roman" w:cs="Times New Roman"/>
          <w:color w:val="333333"/>
          <w:sz w:val="24"/>
          <w:szCs w:val="24"/>
          <w:shd w:val="clear" w:color="auto" w:fill="FFFFFF"/>
          <w:lang w:val="uk-UA"/>
        </w:rPr>
      </w:pPr>
    </w:p>
    <w:tbl>
      <w:tblPr>
        <w:tblW w:w="9638" w:type="dxa"/>
        <w:tblLayout w:type="fixed"/>
        <w:tblCellMar>
          <w:left w:w="10" w:type="dxa"/>
          <w:right w:w="10" w:type="dxa"/>
        </w:tblCellMar>
        <w:tblLook w:val="04A0" w:firstRow="1" w:lastRow="0" w:firstColumn="1" w:lastColumn="0" w:noHBand="0" w:noVBand="1"/>
      </w:tblPr>
      <w:tblGrid>
        <w:gridCol w:w="2433"/>
        <w:gridCol w:w="1093"/>
        <w:gridCol w:w="1602"/>
        <w:gridCol w:w="1353"/>
        <w:gridCol w:w="1414"/>
        <w:gridCol w:w="1743"/>
      </w:tblGrid>
      <w:tr w:rsidR="00482C30" w:rsidRPr="00F34A4A" w14:paraId="63EF5B64" w14:textId="77777777" w:rsidTr="001F7D7C">
        <w:tc>
          <w:tcPr>
            <w:tcW w:w="2433" w:type="dxa"/>
            <w:tcBorders>
              <w:top w:val="single" w:sz="2" w:space="0" w:color="000000"/>
              <w:left w:val="single" w:sz="2" w:space="0" w:color="000000"/>
              <w:bottom w:val="single" w:sz="2" w:space="0" w:color="000000"/>
            </w:tcBorders>
            <w:tcMar>
              <w:top w:w="57" w:type="dxa"/>
              <w:left w:w="57" w:type="dxa"/>
              <w:bottom w:w="57" w:type="dxa"/>
              <w:right w:w="57" w:type="dxa"/>
            </w:tcMar>
          </w:tcPr>
          <w:p w14:paraId="051099D1"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Процедура регулювання суб’єктів великого і середнього підприємництва (розрахунок на одного типового суб’єкта господарювання)</w:t>
            </w:r>
          </w:p>
        </w:tc>
        <w:tc>
          <w:tcPr>
            <w:tcW w:w="1093" w:type="dxa"/>
            <w:tcBorders>
              <w:top w:val="single" w:sz="2" w:space="0" w:color="000000"/>
              <w:left w:val="single" w:sz="2" w:space="0" w:color="000000"/>
              <w:bottom w:val="single" w:sz="2" w:space="0" w:color="000000"/>
            </w:tcBorders>
            <w:tcMar>
              <w:top w:w="57" w:type="dxa"/>
              <w:left w:w="57" w:type="dxa"/>
              <w:bottom w:w="57" w:type="dxa"/>
              <w:right w:w="57" w:type="dxa"/>
            </w:tcMar>
          </w:tcPr>
          <w:p w14:paraId="68E9A663"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Планові витрати часу на процедуру</w:t>
            </w:r>
          </w:p>
        </w:tc>
        <w:tc>
          <w:tcPr>
            <w:tcW w:w="1602" w:type="dxa"/>
            <w:tcBorders>
              <w:top w:val="single" w:sz="2" w:space="0" w:color="000000"/>
              <w:left w:val="single" w:sz="2" w:space="0" w:color="000000"/>
              <w:bottom w:val="single" w:sz="2" w:space="0" w:color="000000"/>
            </w:tcBorders>
            <w:tcMar>
              <w:top w:w="57" w:type="dxa"/>
              <w:left w:w="57" w:type="dxa"/>
              <w:bottom w:w="57" w:type="dxa"/>
              <w:right w:w="57" w:type="dxa"/>
            </w:tcMar>
          </w:tcPr>
          <w:p w14:paraId="66A11E65"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Вартість часу співробітника органу державної влади відповідної категорії (заробітна плата)</w:t>
            </w:r>
          </w:p>
        </w:tc>
        <w:tc>
          <w:tcPr>
            <w:tcW w:w="1353" w:type="dxa"/>
            <w:tcBorders>
              <w:top w:val="single" w:sz="2" w:space="0" w:color="000000"/>
              <w:left w:val="single" w:sz="2" w:space="0" w:color="000000"/>
              <w:bottom w:val="single" w:sz="2" w:space="0" w:color="000000"/>
            </w:tcBorders>
            <w:tcMar>
              <w:top w:w="57" w:type="dxa"/>
              <w:left w:w="57" w:type="dxa"/>
              <w:bottom w:w="57" w:type="dxa"/>
              <w:right w:w="57" w:type="dxa"/>
            </w:tcMar>
          </w:tcPr>
          <w:p w14:paraId="4E180140"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Оцінка кількості процедур за рік, що припадають на одного суб’єкта</w:t>
            </w:r>
          </w:p>
        </w:tc>
        <w:tc>
          <w:tcPr>
            <w:tcW w:w="1414" w:type="dxa"/>
            <w:tcBorders>
              <w:top w:val="single" w:sz="2" w:space="0" w:color="000000"/>
              <w:left w:val="single" w:sz="2" w:space="0" w:color="000000"/>
              <w:bottom w:val="single" w:sz="2" w:space="0" w:color="000000"/>
            </w:tcBorders>
            <w:tcMar>
              <w:top w:w="57" w:type="dxa"/>
              <w:left w:w="57" w:type="dxa"/>
              <w:bottom w:w="57" w:type="dxa"/>
              <w:right w:w="57" w:type="dxa"/>
            </w:tcMar>
          </w:tcPr>
          <w:p w14:paraId="09F4D80F"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Оцінка кількості  суб’єктів, що підпадають під дію процедури регулювання</w:t>
            </w:r>
          </w:p>
        </w:tc>
        <w:tc>
          <w:tcPr>
            <w:tcW w:w="17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1168D5" w14:textId="77777777" w:rsidR="00482C30" w:rsidRPr="003E66CB" w:rsidRDefault="00482C30" w:rsidP="001F7D7C">
            <w:pPr>
              <w:spacing w:before="150" w:after="150" w:line="240" w:lineRule="auto"/>
              <w:jc w:val="center"/>
              <w:rPr>
                <w:rFonts w:ascii="Times New Roman" w:eastAsia="Times New Roman" w:hAnsi="Times New Roman" w:cs="Times New Roman"/>
                <w:b/>
                <w:bCs/>
                <w:sz w:val="24"/>
                <w:szCs w:val="24"/>
                <w:lang w:val="uk-UA" w:eastAsia="ru-RU"/>
              </w:rPr>
            </w:pPr>
            <w:r w:rsidRPr="003E66CB">
              <w:rPr>
                <w:rFonts w:ascii="Times New Roman" w:eastAsia="Times New Roman" w:hAnsi="Times New Roman" w:cs="Times New Roman"/>
                <w:b/>
                <w:bCs/>
                <w:sz w:val="24"/>
                <w:szCs w:val="24"/>
                <w:lang w:val="uk-UA" w:eastAsia="ru-RU"/>
              </w:rPr>
              <w:t>Витрати на адміністрування регулювання* (за рік), гривень</w:t>
            </w:r>
          </w:p>
        </w:tc>
      </w:tr>
      <w:tr w:rsidR="00482C30" w:rsidRPr="003E66CB" w14:paraId="1172D924"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7091E504" w14:textId="77777777" w:rsidR="00482C30" w:rsidRPr="003E66CB" w:rsidRDefault="00C35FE8" w:rsidP="00C35FE8">
            <w:pPr>
              <w:pStyle w:val="Standard"/>
              <w:rPr>
                <w:rFonts w:ascii="Times New Roman" w:hAnsi="Times New Roman" w:cs="Times New Roman"/>
                <w:color w:val="auto"/>
                <w:sz w:val="24"/>
                <w:szCs w:val="24"/>
                <w:lang w:val="uk-UA"/>
              </w:rPr>
            </w:pPr>
            <w:r w:rsidRPr="00C35FE8">
              <w:rPr>
                <w:rFonts w:ascii="Times New Roman" w:hAnsi="Times New Roman" w:cs="Times New Roman"/>
                <w:color w:val="auto"/>
                <w:sz w:val="24"/>
                <w:szCs w:val="24"/>
                <w:lang w:val="uk-UA"/>
              </w:rPr>
              <w:t>1.</w:t>
            </w:r>
            <w:r>
              <w:rPr>
                <w:rFonts w:ascii="Times New Roman" w:hAnsi="Times New Roman" w:cs="Times New Roman"/>
                <w:color w:val="auto"/>
                <w:sz w:val="24"/>
                <w:szCs w:val="24"/>
                <w:lang w:val="uk-UA"/>
              </w:rPr>
              <w:t xml:space="preserve"> </w:t>
            </w:r>
            <w:r w:rsidR="00482C30" w:rsidRPr="003E66CB">
              <w:rPr>
                <w:rFonts w:ascii="Times New Roman" w:hAnsi="Times New Roman" w:cs="Times New Roman"/>
                <w:color w:val="auto"/>
                <w:sz w:val="24"/>
                <w:szCs w:val="24"/>
                <w:lang w:val="uk-UA"/>
              </w:rPr>
              <w:t>Облік суб’єкта господарювання, що перебуває у сфері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280BB48E"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641A66DA"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63E8AD08"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70430510"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56262C00"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482C30" w:rsidRPr="001A38D6" w14:paraId="002BA108"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7E00E515" w14:textId="77777777" w:rsidR="00482C30" w:rsidRPr="003E66CB" w:rsidRDefault="001A38D6" w:rsidP="001A38D6">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2. </w:t>
            </w:r>
            <w:r w:rsidR="00482C30" w:rsidRPr="003E66CB">
              <w:rPr>
                <w:rFonts w:ascii="Times New Roman" w:hAnsi="Times New Roman" w:cs="Times New Roman"/>
                <w:color w:val="auto"/>
                <w:sz w:val="24"/>
                <w:szCs w:val="24"/>
                <w:lang w:val="uk-UA"/>
              </w:rPr>
              <w:t xml:space="preserve">Поточний контроль за суб’єктом господарювання, що </w:t>
            </w:r>
            <w:r w:rsidR="00482C30" w:rsidRPr="003E66CB">
              <w:rPr>
                <w:rFonts w:ascii="Times New Roman" w:hAnsi="Times New Roman" w:cs="Times New Roman"/>
                <w:color w:val="auto"/>
                <w:sz w:val="24"/>
                <w:szCs w:val="24"/>
                <w:lang w:val="uk-UA"/>
              </w:rPr>
              <w:lastRenderedPageBreak/>
              <w:t>перебуває у сфері регулювання, у тому числі</w:t>
            </w:r>
            <w:r>
              <w:rPr>
                <w:rFonts w:ascii="Times New Roman" w:hAnsi="Times New Roman" w:cs="Times New Roman"/>
                <w:color w:val="auto"/>
                <w:sz w:val="24"/>
                <w:szCs w:val="24"/>
                <w:lang w:val="uk-UA"/>
              </w:rPr>
              <w:t>:</w:t>
            </w:r>
            <w:r w:rsidR="00482C30" w:rsidRPr="003E66CB">
              <w:rPr>
                <w:rFonts w:ascii="Times New Roman" w:hAnsi="Times New Roman" w:cs="Times New Roman"/>
                <w:color w:val="auto"/>
                <w:sz w:val="24"/>
                <w:szCs w:val="24"/>
                <w:lang w:val="uk-UA"/>
              </w:rPr>
              <w:t xml:space="preserve"> </w:t>
            </w:r>
          </w:p>
        </w:tc>
        <w:tc>
          <w:tcPr>
            <w:tcW w:w="1093" w:type="dxa"/>
            <w:tcBorders>
              <w:left w:val="single" w:sz="2" w:space="0" w:color="000000"/>
              <w:bottom w:val="single" w:sz="2" w:space="0" w:color="000000"/>
            </w:tcBorders>
            <w:tcMar>
              <w:top w:w="57" w:type="dxa"/>
              <w:left w:w="57" w:type="dxa"/>
              <w:bottom w:w="57" w:type="dxa"/>
              <w:right w:w="57" w:type="dxa"/>
            </w:tcMar>
          </w:tcPr>
          <w:p w14:paraId="036160E0"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lastRenderedPageBreak/>
              <w:t>0</w:t>
            </w:r>
          </w:p>
        </w:tc>
        <w:tc>
          <w:tcPr>
            <w:tcW w:w="1602" w:type="dxa"/>
            <w:tcBorders>
              <w:left w:val="single" w:sz="2" w:space="0" w:color="000000"/>
              <w:bottom w:val="single" w:sz="2" w:space="0" w:color="000000"/>
            </w:tcBorders>
            <w:tcMar>
              <w:top w:w="57" w:type="dxa"/>
              <w:left w:w="57" w:type="dxa"/>
              <w:bottom w:w="57" w:type="dxa"/>
              <w:right w:w="57" w:type="dxa"/>
            </w:tcMar>
          </w:tcPr>
          <w:p w14:paraId="49CE29CC"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05264856"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28B1BAD3"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4558F13E" w14:textId="77777777" w:rsidR="00482C30" w:rsidRPr="003E66CB" w:rsidRDefault="00A64505"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r>
      <w:tr w:rsidR="001A38D6" w:rsidRPr="001A38D6" w14:paraId="00A2530E"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24CD6AA7" w14:textId="77777777" w:rsidR="001A38D6" w:rsidRPr="003E66CB" w:rsidRDefault="001A38D6" w:rsidP="001F7D7C">
            <w:pPr>
              <w:pStyle w:val="Standard"/>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камеральні</w:t>
            </w:r>
          </w:p>
        </w:tc>
        <w:tc>
          <w:tcPr>
            <w:tcW w:w="1093" w:type="dxa"/>
            <w:tcBorders>
              <w:left w:val="single" w:sz="2" w:space="0" w:color="000000"/>
              <w:bottom w:val="single" w:sz="2" w:space="0" w:color="000000"/>
            </w:tcBorders>
            <w:tcMar>
              <w:top w:w="57" w:type="dxa"/>
              <w:left w:w="57" w:type="dxa"/>
              <w:bottom w:w="57" w:type="dxa"/>
              <w:right w:w="57" w:type="dxa"/>
            </w:tcMar>
          </w:tcPr>
          <w:p w14:paraId="77814BBA" w14:textId="77777777" w:rsidR="001A38D6"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36431C9A" w14:textId="77777777" w:rsidR="001A38D6"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47AD0780" w14:textId="77777777" w:rsidR="001A38D6"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5405A53F" w14:textId="77777777" w:rsidR="001A38D6"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77A1435E" w14:textId="77777777" w:rsidR="001A38D6"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r>
      <w:tr w:rsidR="00482C30" w:rsidRPr="001A38D6" w14:paraId="3045629B"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6E58F4C2" w14:textId="77777777" w:rsidR="00482C30" w:rsidRPr="003E66CB" w:rsidRDefault="00482C30" w:rsidP="001A38D6">
            <w:pPr>
              <w:pStyle w:val="Standard"/>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 xml:space="preserve"> виїзні</w:t>
            </w:r>
          </w:p>
        </w:tc>
        <w:tc>
          <w:tcPr>
            <w:tcW w:w="1093" w:type="dxa"/>
            <w:tcBorders>
              <w:left w:val="single" w:sz="2" w:space="0" w:color="000000"/>
              <w:bottom w:val="single" w:sz="2" w:space="0" w:color="000000"/>
            </w:tcBorders>
            <w:tcMar>
              <w:top w:w="57" w:type="dxa"/>
              <w:left w:w="57" w:type="dxa"/>
              <w:bottom w:w="57" w:type="dxa"/>
              <w:right w:w="57" w:type="dxa"/>
            </w:tcMar>
          </w:tcPr>
          <w:p w14:paraId="65B2AAEA"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1253C2BB"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2622CBE"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7B5B4053"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76BF9F0B"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482C30" w:rsidRPr="001A38D6" w14:paraId="3A8B8940"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70E4A6A7" w14:textId="77777777" w:rsidR="00482C30" w:rsidRPr="003E66CB" w:rsidRDefault="001A38D6" w:rsidP="001F7D7C">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3. </w:t>
            </w:r>
            <w:r w:rsidR="00482C30" w:rsidRPr="003E66CB">
              <w:rPr>
                <w:rFonts w:ascii="Times New Roman" w:hAnsi="Times New Roman" w:cs="Times New Roman"/>
                <w:color w:val="auto"/>
                <w:sz w:val="24"/>
                <w:szCs w:val="24"/>
                <w:lang w:val="uk-UA"/>
              </w:rPr>
              <w:t>Підготовка, затвердження та опрацювання одного окремого акта про порушення вимог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0EDA466A"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66CBF9CB"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A3ABDCF"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7A90789A" w14:textId="77777777" w:rsidR="00482C30" w:rsidRPr="003E66CB" w:rsidRDefault="00AD1E6B" w:rsidP="00AD1E6B">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136F93F3"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482C30" w:rsidRPr="001A38D6" w14:paraId="168627A0"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161D2A07" w14:textId="77777777" w:rsidR="00482C30" w:rsidRPr="003E66CB" w:rsidRDefault="00780F7F" w:rsidP="001F7D7C">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4. </w:t>
            </w:r>
            <w:r w:rsidR="00482C30" w:rsidRPr="003E66CB">
              <w:rPr>
                <w:rFonts w:ascii="Times New Roman" w:hAnsi="Times New Roman" w:cs="Times New Roman"/>
                <w:color w:val="auto"/>
                <w:sz w:val="24"/>
                <w:szCs w:val="24"/>
                <w:lang w:val="uk-UA"/>
              </w:rPr>
              <w:t>Реалізація одного окремого рішення щодо порушення вимог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77E216D8"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37936789"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2CF7D168"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A294611"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5C71D85C"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482C30" w:rsidRPr="00780F7F" w14:paraId="52F48B37"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33AAF5AD" w14:textId="77777777" w:rsidR="00482C30" w:rsidRPr="003E66CB" w:rsidRDefault="00780F7F" w:rsidP="001F7D7C">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5. </w:t>
            </w:r>
            <w:r w:rsidR="00482C30" w:rsidRPr="003E66CB">
              <w:rPr>
                <w:rFonts w:ascii="Times New Roman" w:hAnsi="Times New Roman" w:cs="Times New Roman"/>
                <w:color w:val="auto"/>
                <w:sz w:val="24"/>
                <w:szCs w:val="24"/>
                <w:lang w:val="uk-UA"/>
              </w:rPr>
              <w:t>Оскарження одного окремого рішення суб’єктами господарювання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409FAB70"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4880CD5D"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10535549"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67FB8598"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3740FB46"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482C30" w:rsidRPr="00780F7F" w14:paraId="2D91B166"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0A8D8E35" w14:textId="77777777" w:rsidR="00482C30" w:rsidRPr="003E66CB" w:rsidRDefault="00780F7F" w:rsidP="001F7D7C">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 xml:space="preserve">6. </w:t>
            </w:r>
            <w:r w:rsidR="00482C30" w:rsidRPr="003E66CB">
              <w:rPr>
                <w:rFonts w:ascii="Times New Roman" w:hAnsi="Times New Roman" w:cs="Times New Roman"/>
                <w:color w:val="auto"/>
                <w:sz w:val="24"/>
                <w:szCs w:val="24"/>
                <w:lang w:val="uk-UA"/>
              </w:rPr>
              <w:t>Підготовка звітності за результатами регулювання</w:t>
            </w:r>
          </w:p>
        </w:tc>
        <w:tc>
          <w:tcPr>
            <w:tcW w:w="1093" w:type="dxa"/>
            <w:tcBorders>
              <w:left w:val="single" w:sz="2" w:space="0" w:color="000000"/>
              <w:bottom w:val="single" w:sz="2" w:space="0" w:color="000000"/>
            </w:tcBorders>
            <w:tcMar>
              <w:top w:w="57" w:type="dxa"/>
              <w:left w:w="57" w:type="dxa"/>
              <w:bottom w:w="57" w:type="dxa"/>
              <w:right w:w="57" w:type="dxa"/>
            </w:tcMar>
          </w:tcPr>
          <w:p w14:paraId="739536D5"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3E657055"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54933688"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2E9FEE74" w14:textId="77777777" w:rsidR="00482C30" w:rsidRPr="003E66CB" w:rsidRDefault="00AD1E6B" w:rsidP="001F7D7C">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488B92F6" w14:textId="77777777" w:rsidR="00482C30" w:rsidRPr="003E66CB" w:rsidRDefault="00482C30" w:rsidP="001F7D7C">
            <w:pPr>
              <w:pStyle w:val="Standard"/>
              <w:jc w:val="center"/>
              <w:rPr>
                <w:rFonts w:ascii="Times New Roman" w:hAnsi="Times New Roman" w:cs="Times New Roman"/>
                <w:color w:val="auto"/>
                <w:sz w:val="24"/>
                <w:szCs w:val="24"/>
                <w:lang w:val="uk-UA"/>
              </w:rPr>
            </w:pPr>
            <w:r w:rsidRPr="003E66CB">
              <w:rPr>
                <w:rFonts w:ascii="Times New Roman" w:hAnsi="Times New Roman" w:cs="Times New Roman"/>
                <w:color w:val="auto"/>
                <w:sz w:val="24"/>
                <w:szCs w:val="24"/>
                <w:lang w:val="uk-UA"/>
              </w:rPr>
              <w:t>0</w:t>
            </w:r>
          </w:p>
        </w:tc>
      </w:tr>
      <w:tr w:rsidR="00780F7F" w:rsidRPr="00780F7F" w14:paraId="4B18DAFA"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494F5B37" w14:textId="77777777" w:rsidR="00780F7F" w:rsidRDefault="00780F7F" w:rsidP="001F7D7C">
            <w:pPr>
              <w:pStyle w:val="Standard"/>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7. Інші адміністративні процедури (уточнити):</w:t>
            </w:r>
          </w:p>
        </w:tc>
        <w:tc>
          <w:tcPr>
            <w:tcW w:w="1093" w:type="dxa"/>
            <w:tcBorders>
              <w:left w:val="single" w:sz="2" w:space="0" w:color="000000"/>
              <w:bottom w:val="single" w:sz="2" w:space="0" w:color="000000"/>
            </w:tcBorders>
            <w:tcMar>
              <w:top w:w="57" w:type="dxa"/>
              <w:left w:w="57" w:type="dxa"/>
              <w:bottom w:w="57" w:type="dxa"/>
              <w:right w:w="57" w:type="dxa"/>
            </w:tcMar>
          </w:tcPr>
          <w:p w14:paraId="046B1990" w14:textId="77777777" w:rsidR="00780F7F" w:rsidRPr="003E66CB" w:rsidRDefault="00FB13B4" w:rsidP="00FB13B4">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602" w:type="dxa"/>
            <w:tcBorders>
              <w:left w:val="single" w:sz="2" w:space="0" w:color="000000"/>
              <w:bottom w:val="single" w:sz="2" w:space="0" w:color="000000"/>
            </w:tcBorders>
            <w:tcMar>
              <w:top w:w="57" w:type="dxa"/>
              <w:left w:w="57" w:type="dxa"/>
              <w:bottom w:w="57" w:type="dxa"/>
              <w:right w:w="57" w:type="dxa"/>
            </w:tcMar>
          </w:tcPr>
          <w:p w14:paraId="1BC04EDB" w14:textId="77777777" w:rsidR="00780F7F" w:rsidRPr="003E66CB" w:rsidRDefault="00FB13B4" w:rsidP="00FB13B4">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353" w:type="dxa"/>
            <w:tcBorders>
              <w:left w:val="single" w:sz="2" w:space="0" w:color="000000"/>
              <w:bottom w:val="single" w:sz="2" w:space="0" w:color="000000"/>
            </w:tcBorders>
            <w:tcMar>
              <w:top w:w="57" w:type="dxa"/>
              <w:left w:w="57" w:type="dxa"/>
              <w:bottom w:w="57" w:type="dxa"/>
              <w:right w:w="57" w:type="dxa"/>
            </w:tcMar>
          </w:tcPr>
          <w:p w14:paraId="3B9DDB1C" w14:textId="77777777" w:rsidR="00780F7F" w:rsidRPr="003E66CB" w:rsidRDefault="00FB13B4" w:rsidP="00FB13B4">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1EB99D0" w14:textId="77777777" w:rsidR="00780F7F" w:rsidRPr="003E66CB" w:rsidRDefault="00FB13B4" w:rsidP="00FB13B4">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367895D5" w14:textId="77777777" w:rsidR="00780F7F" w:rsidRPr="003E66CB" w:rsidRDefault="00FB13B4" w:rsidP="00FB13B4">
            <w:pPr>
              <w:pStyle w:val="Standard"/>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w:t>
            </w:r>
          </w:p>
        </w:tc>
      </w:tr>
      <w:tr w:rsidR="00482C30" w:rsidRPr="003E66CB" w14:paraId="516FA604"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1395976B" w14:textId="77777777" w:rsidR="00482C30" w:rsidRPr="003E66CB" w:rsidRDefault="00482C30" w:rsidP="001F7D7C">
            <w:pPr>
              <w:pStyle w:val="Standard"/>
              <w:rPr>
                <w:rFonts w:ascii="Times New Roman" w:hAnsi="Times New Roman" w:cs="Times New Roman"/>
                <w:sz w:val="24"/>
                <w:szCs w:val="24"/>
                <w:lang w:val="uk-UA"/>
              </w:rPr>
            </w:pPr>
            <w:r w:rsidRPr="003E66CB">
              <w:rPr>
                <w:rFonts w:ascii="Times New Roman" w:hAnsi="Times New Roman" w:cs="Times New Roman"/>
                <w:sz w:val="24"/>
                <w:szCs w:val="24"/>
                <w:lang w:val="uk-UA"/>
              </w:rPr>
              <w:t>Разом за рік</w:t>
            </w:r>
          </w:p>
        </w:tc>
        <w:tc>
          <w:tcPr>
            <w:tcW w:w="1093" w:type="dxa"/>
            <w:tcBorders>
              <w:left w:val="single" w:sz="2" w:space="0" w:color="000000"/>
              <w:bottom w:val="single" w:sz="2" w:space="0" w:color="000000"/>
            </w:tcBorders>
            <w:tcMar>
              <w:top w:w="57" w:type="dxa"/>
              <w:left w:w="57" w:type="dxa"/>
              <w:bottom w:w="57" w:type="dxa"/>
              <w:right w:w="57" w:type="dxa"/>
            </w:tcMar>
          </w:tcPr>
          <w:p w14:paraId="6CDE9B3E" w14:textId="77777777" w:rsidR="00482C30" w:rsidRPr="003E66CB" w:rsidRDefault="008B4972"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32F67C48" w14:textId="77777777" w:rsidR="00482C30" w:rsidRPr="003E66CB" w:rsidRDefault="008B4972"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50A9938" w14:textId="77777777" w:rsidR="00482C30" w:rsidRPr="003E66CB" w:rsidRDefault="00FB13B4"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72A4C29F" w14:textId="77777777" w:rsidR="00482C30" w:rsidRPr="003E66CB" w:rsidRDefault="00FB13B4"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35CB4054" w14:textId="77777777" w:rsidR="00482C30" w:rsidRPr="008B4972" w:rsidRDefault="008B4972" w:rsidP="00FB13B4">
            <w:pPr>
              <w:pStyle w:val="Textbody"/>
              <w:spacing w:after="16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r>
      <w:tr w:rsidR="00482C30" w:rsidRPr="003E66CB" w14:paraId="4992827B" w14:textId="77777777" w:rsidTr="001F7D7C">
        <w:tc>
          <w:tcPr>
            <w:tcW w:w="2433" w:type="dxa"/>
            <w:tcBorders>
              <w:left w:val="single" w:sz="2" w:space="0" w:color="000000"/>
              <w:bottom w:val="single" w:sz="2" w:space="0" w:color="000000"/>
            </w:tcBorders>
            <w:tcMar>
              <w:top w:w="57" w:type="dxa"/>
              <w:left w:w="57" w:type="dxa"/>
              <w:bottom w:w="57" w:type="dxa"/>
              <w:right w:w="57" w:type="dxa"/>
            </w:tcMar>
          </w:tcPr>
          <w:p w14:paraId="4340B694" w14:textId="77777777" w:rsidR="00482C30" w:rsidRPr="003E66CB" w:rsidRDefault="00482C30" w:rsidP="001F7D7C">
            <w:pPr>
              <w:pStyle w:val="Standard"/>
              <w:rPr>
                <w:rFonts w:ascii="Times New Roman" w:hAnsi="Times New Roman" w:cs="Times New Roman"/>
                <w:sz w:val="24"/>
                <w:szCs w:val="24"/>
                <w:lang w:val="uk-UA"/>
              </w:rPr>
            </w:pPr>
            <w:r w:rsidRPr="003E66CB">
              <w:rPr>
                <w:rFonts w:ascii="Times New Roman" w:hAnsi="Times New Roman" w:cs="Times New Roman"/>
                <w:sz w:val="24"/>
                <w:szCs w:val="24"/>
                <w:lang w:val="uk-UA"/>
              </w:rPr>
              <w:t>Сумарно за п'ять років</w:t>
            </w:r>
          </w:p>
        </w:tc>
        <w:tc>
          <w:tcPr>
            <w:tcW w:w="1093" w:type="dxa"/>
            <w:tcBorders>
              <w:left w:val="single" w:sz="2" w:space="0" w:color="000000"/>
              <w:bottom w:val="single" w:sz="2" w:space="0" w:color="000000"/>
            </w:tcBorders>
            <w:tcMar>
              <w:top w:w="57" w:type="dxa"/>
              <w:left w:w="57" w:type="dxa"/>
              <w:bottom w:w="57" w:type="dxa"/>
              <w:right w:w="57" w:type="dxa"/>
            </w:tcMar>
          </w:tcPr>
          <w:p w14:paraId="24A91E6A" w14:textId="77777777" w:rsidR="00482C30" w:rsidRPr="003E66CB" w:rsidRDefault="008B4972"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602" w:type="dxa"/>
            <w:tcBorders>
              <w:left w:val="single" w:sz="2" w:space="0" w:color="000000"/>
              <w:bottom w:val="single" w:sz="2" w:space="0" w:color="000000"/>
            </w:tcBorders>
            <w:tcMar>
              <w:top w:w="57" w:type="dxa"/>
              <w:left w:w="57" w:type="dxa"/>
              <w:bottom w:w="57" w:type="dxa"/>
              <w:right w:w="57" w:type="dxa"/>
            </w:tcMar>
          </w:tcPr>
          <w:p w14:paraId="07008966" w14:textId="77777777" w:rsidR="00482C30" w:rsidRPr="003E66CB" w:rsidRDefault="008B4972"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c>
          <w:tcPr>
            <w:tcW w:w="1353" w:type="dxa"/>
            <w:tcBorders>
              <w:left w:val="single" w:sz="2" w:space="0" w:color="000000"/>
              <w:bottom w:val="single" w:sz="2" w:space="0" w:color="000000"/>
            </w:tcBorders>
            <w:tcMar>
              <w:top w:w="57" w:type="dxa"/>
              <w:left w:w="57" w:type="dxa"/>
              <w:bottom w:w="57" w:type="dxa"/>
              <w:right w:w="57" w:type="dxa"/>
            </w:tcMar>
          </w:tcPr>
          <w:p w14:paraId="3AA3CD12" w14:textId="77777777" w:rsidR="00482C30" w:rsidRPr="003E66CB" w:rsidRDefault="00FB13B4"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414" w:type="dxa"/>
            <w:tcBorders>
              <w:left w:val="single" w:sz="2" w:space="0" w:color="000000"/>
              <w:bottom w:val="single" w:sz="2" w:space="0" w:color="000000"/>
            </w:tcBorders>
            <w:tcMar>
              <w:top w:w="57" w:type="dxa"/>
              <w:left w:w="57" w:type="dxa"/>
              <w:bottom w:w="57" w:type="dxa"/>
              <w:right w:w="57" w:type="dxa"/>
            </w:tcMar>
          </w:tcPr>
          <w:p w14:paraId="38FEFC2A" w14:textId="77777777" w:rsidR="00482C30" w:rsidRPr="003E66CB" w:rsidRDefault="00FB13B4" w:rsidP="00FB13B4">
            <w:pPr>
              <w:pStyle w:val="Standard"/>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43" w:type="dxa"/>
            <w:tcBorders>
              <w:left w:val="single" w:sz="2" w:space="0" w:color="000000"/>
              <w:bottom w:val="single" w:sz="2" w:space="0" w:color="000000"/>
              <w:right w:val="single" w:sz="2" w:space="0" w:color="000000"/>
            </w:tcBorders>
            <w:tcMar>
              <w:top w:w="57" w:type="dxa"/>
              <w:left w:w="57" w:type="dxa"/>
              <w:bottom w:w="57" w:type="dxa"/>
              <w:right w:w="57" w:type="dxa"/>
            </w:tcMar>
          </w:tcPr>
          <w:p w14:paraId="291C9BD2" w14:textId="77777777" w:rsidR="00482C30" w:rsidRPr="008B4972" w:rsidRDefault="008B4972" w:rsidP="00FB13B4">
            <w:pPr>
              <w:pStyle w:val="Textbody"/>
              <w:spacing w:after="160"/>
              <w:jc w:val="center"/>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0</w:t>
            </w:r>
          </w:p>
        </w:tc>
      </w:tr>
    </w:tbl>
    <w:p w14:paraId="0C24D5B6" w14:textId="77777777" w:rsidR="004C6AD2" w:rsidRDefault="004C6AD2" w:rsidP="008B4972">
      <w:pPr>
        <w:pStyle w:val="Textbody"/>
        <w:spacing w:after="160"/>
        <w:jc w:val="both"/>
        <w:rPr>
          <w:rFonts w:ascii="Times New Roman" w:hAnsi="Times New Roman" w:cs="Times New Roman"/>
          <w:color w:val="auto"/>
          <w:sz w:val="24"/>
          <w:szCs w:val="24"/>
          <w:shd w:val="clear" w:color="auto" w:fill="FFFFFF"/>
          <w:lang w:val="uk-UA"/>
        </w:rPr>
      </w:pPr>
    </w:p>
    <w:p w14:paraId="14A4958F" w14:textId="644026FE" w:rsidR="00482C30" w:rsidRDefault="00482C30" w:rsidP="008B4972">
      <w:pPr>
        <w:pStyle w:val="Textbody"/>
        <w:spacing w:after="160"/>
        <w:jc w:val="both"/>
        <w:rPr>
          <w:rFonts w:ascii="Times New Roman" w:hAnsi="Times New Roman" w:cs="Times New Roman"/>
          <w:color w:val="auto"/>
          <w:sz w:val="24"/>
          <w:szCs w:val="24"/>
          <w:shd w:val="clear" w:color="auto" w:fill="FFFFFF"/>
          <w:lang w:val="uk-UA"/>
        </w:rPr>
      </w:pPr>
      <w:r w:rsidRPr="003E66CB">
        <w:rPr>
          <w:rFonts w:ascii="Times New Roman" w:hAnsi="Times New Roman" w:cs="Times New Roman"/>
          <w:color w:val="auto"/>
          <w:sz w:val="24"/>
          <w:szCs w:val="24"/>
          <w:shd w:val="clear" w:color="auto" w:fill="FFFFFF"/>
          <w:lang w:val="uk-UA"/>
        </w:rP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090A3F82" w14:textId="77777777" w:rsidR="003D6F50" w:rsidRPr="008B4972" w:rsidRDefault="003D6F50" w:rsidP="00F34A4A">
      <w:pPr>
        <w:pStyle w:val="Textbody"/>
        <w:tabs>
          <w:tab w:val="left" w:pos="567"/>
        </w:tabs>
        <w:spacing w:after="160"/>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auto"/>
          <w:sz w:val="24"/>
          <w:szCs w:val="24"/>
          <w:shd w:val="clear" w:color="auto" w:fill="FFFFFF"/>
          <w:lang w:val="uk-UA"/>
        </w:rPr>
        <w:tab/>
      </w:r>
      <w:r w:rsidRPr="008B4972">
        <w:rPr>
          <w:rFonts w:ascii="Times New Roman" w:hAnsi="Times New Roman" w:cs="Times New Roman"/>
          <w:color w:val="000000" w:themeColor="text1"/>
          <w:sz w:val="24"/>
          <w:szCs w:val="24"/>
          <w:shd w:val="clear" w:color="auto" w:fill="FFFFFF"/>
          <w:lang w:val="uk-UA"/>
        </w:rPr>
        <w:t>Державне регулювання не передбачає утворення нового державного органу (або нового структурного підрозділу діюч</w:t>
      </w:r>
      <w:r w:rsidR="00191352" w:rsidRPr="008B4972">
        <w:rPr>
          <w:rFonts w:ascii="Times New Roman" w:hAnsi="Times New Roman" w:cs="Times New Roman"/>
          <w:color w:val="000000" w:themeColor="text1"/>
          <w:sz w:val="24"/>
          <w:szCs w:val="24"/>
          <w:shd w:val="clear" w:color="auto" w:fill="FFFFFF"/>
          <w:lang w:val="uk-UA"/>
        </w:rPr>
        <w:t>их</w:t>
      </w:r>
      <w:r w:rsidRPr="008B4972">
        <w:rPr>
          <w:rFonts w:ascii="Times New Roman" w:hAnsi="Times New Roman" w:cs="Times New Roman"/>
          <w:color w:val="000000" w:themeColor="text1"/>
          <w:sz w:val="24"/>
          <w:szCs w:val="24"/>
          <w:shd w:val="clear" w:color="auto" w:fill="FFFFFF"/>
          <w:lang w:val="uk-UA"/>
        </w:rPr>
        <w:t xml:space="preserve"> орган</w:t>
      </w:r>
      <w:r w:rsidR="00191352" w:rsidRPr="008B4972">
        <w:rPr>
          <w:rFonts w:ascii="Times New Roman" w:hAnsi="Times New Roman" w:cs="Times New Roman"/>
          <w:color w:val="000000" w:themeColor="text1"/>
          <w:sz w:val="24"/>
          <w:szCs w:val="24"/>
          <w:shd w:val="clear" w:color="auto" w:fill="FFFFFF"/>
          <w:lang w:val="uk-UA"/>
        </w:rPr>
        <w:t>ів</w:t>
      </w:r>
      <w:r w:rsidRPr="008B4972">
        <w:rPr>
          <w:rFonts w:ascii="Times New Roman" w:hAnsi="Times New Roman" w:cs="Times New Roman"/>
          <w:color w:val="000000" w:themeColor="text1"/>
          <w:sz w:val="24"/>
          <w:szCs w:val="24"/>
          <w:shd w:val="clear" w:color="auto" w:fill="FFFFFF"/>
          <w:lang w:val="uk-UA"/>
        </w:rPr>
        <w:t>)</w:t>
      </w:r>
      <w:r w:rsidR="00185971" w:rsidRPr="008B4972">
        <w:rPr>
          <w:rFonts w:ascii="Times New Roman" w:hAnsi="Times New Roman" w:cs="Times New Roman"/>
          <w:color w:val="000000" w:themeColor="text1"/>
          <w:sz w:val="24"/>
          <w:szCs w:val="24"/>
          <w:shd w:val="clear" w:color="auto" w:fill="FFFFFF"/>
          <w:lang w:val="uk-UA"/>
        </w:rPr>
        <w:t>.</w:t>
      </w:r>
      <w:r w:rsidRPr="008B4972">
        <w:rPr>
          <w:rFonts w:ascii="Times New Roman" w:hAnsi="Times New Roman" w:cs="Times New Roman"/>
          <w:color w:val="000000" w:themeColor="text1"/>
          <w:sz w:val="24"/>
          <w:szCs w:val="24"/>
          <w:shd w:val="clear" w:color="auto" w:fill="FFFFFF"/>
          <w:lang w:val="uk-UA"/>
        </w:rPr>
        <w:t xml:space="preserve"> </w:t>
      </w:r>
    </w:p>
    <w:p w14:paraId="69330650" w14:textId="77777777" w:rsidR="003D6F50" w:rsidRPr="00185971" w:rsidRDefault="003D6F50" w:rsidP="00482C30">
      <w:pPr>
        <w:pStyle w:val="Textbody"/>
        <w:spacing w:after="160"/>
        <w:rPr>
          <w:rFonts w:ascii="Times New Roman" w:hAnsi="Times New Roman" w:cs="Times New Roman"/>
          <w:color w:val="FF0000"/>
          <w:sz w:val="24"/>
          <w:szCs w:val="24"/>
          <w:shd w:val="clear" w:color="auto" w:fill="FFFFFF"/>
          <w:lang w:val="uk-UA"/>
        </w:rPr>
      </w:pPr>
    </w:p>
    <w:p w14:paraId="65860BB8" w14:textId="149BCFBA" w:rsidR="00482C30" w:rsidRPr="003E66CB" w:rsidRDefault="00482C30" w:rsidP="00482C30">
      <w:pPr>
        <w:pStyle w:val="1"/>
        <w:rPr>
          <w:rFonts w:ascii="Times New Roman" w:hAnsi="Times New Roman"/>
          <w:sz w:val="24"/>
          <w:szCs w:val="24"/>
          <w:lang w:eastAsia="uk-UA"/>
        </w:rPr>
      </w:pPr>
      <w:r w:rsidRPr="003E66CB">
        <w:rPr>
          <w:rFonts w:ascii="Times New Roman" w:hAnsi="Times New Roman"/>
          <w:sz w:val="24"/>
          <w:szCs w:val="24"/>
          <w:lang w:eastAsia="uk-UA"/>
        </w:rPr>
        <w:t>Голов</w:t>
      </w:r>
      <w:r w:rsidR="00716A67">
        <w:rPr>
          <w:rFonts w:ascii="Times New Roman" w:hAnsi="Times New Roman"/>
          <w:sz w:val="24"/>
          <w:szCs w:val="24"/>
          <w:lang w:eastAsia="uk-UA"/>
        </w:rPr>
        <w:t>а</w:t>
      </w:r>
      <w:r w:rsidRPr="003E66CB">
        <w:rPr>
          <w:rFonts w:ascii="Times New Roman" w:hAnsi="Times New Roman"/>
          <w:sz w:val="24"/>
          <w:szCs w:val="24"/>
          <w:lang w:eastAsia="uk-UA"/>
        </w:rPr>
        <w:t xml:space="preserve"> Державного агентства </w:t>
      </w:r>
    </w:p>
    <w:p w14:paraId="3C0864F9" w14:textId="208BD71B" w:rsidR="00F34A4A" w:rsidRDefault="00F34A4A" w:rsidP="00482C30">
      <w:pPr>
        <w:pStyle w:val="1"/>
        <w:tabs>
          <w:tab w:val="left" w:pos="7088"/>
        </w:tabs>
        <w:rPr>
          <w:rFonts w:ascii="Times New Roman" w:hAnsi="Times New Roman"/>
          <w:sz w:val="24"/>
          <w:szCs w:val="24"/>
          <w:lang w:eastAsia="uk-UA"/>
        </w:rPr>
      </w:pPr>
      <w:r>
        <w:rPr>
          <w:rFonts w:ascii="Times New Roman" w:hAnsi="Times New Roman"/>
          <w:sz w:val="24"/>
          <w:szCs w:val="24"/>
          <w:lang w:eastAsia="uk-UA"/>
        </w:rPr>
        <w:t>відновлення та розвитку</w:t>
      </w:r>
    </w:p>
    <w:p w14:paraId="627C77D2" w14:textId="24A8AAAE" w:rsidR="00482C30" w:rsidRPr="003E66CB" w:rsidRDefault="00F34A4A" w:rsidP="00482C30">
      <w:pPr>
        <w:pStyle w:val="1"/>
        <w:tabs>
          <w:tab w:val="left" w:pos="7088"/>
        </w:tabs>
        <w:rPr>
          <w:rFonts w:ascii="Times New Roman" w:hAnsi="Times New Roman"/>
          <w:sz w:val="24"/>
          <w:szCs w:val="24"/>
          <w:lang w:eastAsia="uk-UA"/>
        </w:rPr>
      </w:pPr>
      <w:r>
        <w:rPr>
          <w:rFonts w:ascii="Times New Roman" w:hAnsi="Times New Roman"/>
          <w:sz w:val="24"/>
          <w:szCs w:val="24"/>
          <w:lang w:eastAsia="uk-UA"/>
        </w:rPr>
        <w:t xml:space="preserve">інфраструктури </w:t>
      </w:r>
      <w:r w:rsidR="00482C30" w:rsidRPr="003E66CB">
        <w:rPr>
          <w:rFonts w:ascii="Times New Roman" w:hAnsi="Times New Roman"/>
          <w:sz w:val="24"/>
          <w:szCs w:val="24"/>
          <w:lang w:eastAsia="uk-UA"/>
        </w:rPr>
        <w:t xml:space="preserve">України </w:t>
      </w:r>
      <w:r w:rsidR="00482C30" w:rsidRPr="003E66CB">
        <w:rPr>
          <w:rFonts w:ascii="Times New Roman" w:hAnsi="Times New Roman"/>
          <w:sz w:val="24"/>
          <w:szCs w:val="24"/>
          <w:lang w:eastAsia="uk-UA"/>
        </w:rPr>
        <w:tab/>
      </w:r>
      <w:r>
        <w:rPr>
          <w:rFonts w:ascii="Times New Roman" w:hAnsi="Times New Roman"/>
          <w:sz w:val="24"/>
          <w:szCs w:val="24"/>
          <w:lang w:eastAsia="uk-UA"/>
        </w:rPr>
        <w:t>Сергій СУХОМЛИН</w:t>
      </w:r>
    </w:p>
    <w:p w14:paraId="5C0D954B" w14:textId="77777777" w:rsidR="00482C30" w:rsidRPr="003E66CB" w:rsidRDefault="00482C30" w:rsidP="00482C30">
      <w:pPr>
        <w:pStyle w:val="1"/>
        <w:rPr>
          <w:rFonts w:ascii="Times New Roman" w:hAnsi="Times New Roman"/>
          <w:sz w:val="24"/>
          <w:szCs w:val="24"/>
          <w:lang w:val="ru-RU" w:eastAsia="uk-UA"/>
        </w:rPr>
      </w:pPr>
    </w:p>
    <w:p w14:paraId="10254E91" w14:textId="77777777" w:rsidR="00482C30" w:rsidRPr="003E66CB" w:rsidRDefault="00482C30" w:rsidP="00482C30">
      <w:pPr>
        <w:spacing w:line="240" w:lineRule="auto"/>
        <w:rPr>
          <w:rFonts w:ascii="Times New Roman" w:hAnsi="Times New Roman" w:cs="Times New Roman"/>
          <w:b/>
          <w:sz w:val="24"/>
          <w:szCs w:val="24"/>
          <w:lang w:val="uk-UA" w:eastAsia="uk-UA"/>
        </w:rPr>
      </w:pPr>
      <w:r w:rsidRPr="003E66CB">
        <w:rPr>
          <w:rFonts w:ascii="Times New Roman" w:hAnsi="Times New Roman" w:cs="Times New Roman"/>
          <w:sz w:val="24"/>
          <w:szCs w:val="24"/>
          <w:lang w:val="ru-RU" w:eastAsia="uk-UA"/>
        </w:rPr>
        <w:t>«____» _______________ 20__ р.</w:t>
      </w:r>
    </w:p>
    <w:p w14:paraId="0243CEDF" w14:textId="77777777" w:rsidR="00482C30" w:rsidRPr="003E66CB" w:rsidRDefault="00482C30" w:rsidP="00482C30">
      <w:pPr>
        <w:rPr>
          <w:rFonts w:ascii="Times New Roman" w:hAnsi="Times New Roman" w:cs="Times New Roman"/>
          <w:sz w:val="24"/>
          <w:szCs w:val="24"/>
          <w:lang w:val="uk-UA"/>
        </w:rPr>
      </w:pPr>
    </w:p>
    <w:p w14:paraId="7E63EB58" w14:textId="77777777" w:rsidR="00482C30" w:rsidRPr="003E66CB" w:rsidRDefault="00482C30" w:rsidP="00482C30">
      <w:pPr>
        <w:pStyle w:val="Textbody"/>
        <w:spacing w:after="0" w:line="360" w:lineRule="auto"/>
        <w:rPr>
          <w:rFonts w:ascii="Times New Roman" w:hAnsi="Times New Roman" w:cs="Times New Roman"/>
          <w:sz w:val="24"/>
          <w:szCs w:val="24"/>
          <w:lang w:val="uk-UA"/>
        </w:rPr>
      </w:pPr>
    </w:p>
    <w:p w14:paraId="5A4880DC" w14:textId="77777777" w:rsidR="00A47608" w:rsidRPr="00482C30" w:rsidRDefault="00A47608">
      <w:pPr>
        <w:rPr>
          <w:lang w:val="uk-UA"/>
        </w:rPr>
      </w:pPr>
    </w:p>
    <w:sectPr w:rsidR="00A47608" w:rsidRPr="00482C30" w:rsidSect="004C6AD2">
      <w:headerReference w:type="default" r:id="rId8"/>
      <w:footerReference w:type="default" r:id="rId9"/>
      <w:pgSz w:w="11906" w:h="16838"/>
      <w:pgMar w:top="1134" w:right="567" w:bottom="2552"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DB32" w14:textId="77777777" w:rsidR="00C24BB4" w:rsidRDefault="00C24BB4">
      <w:pPr>
        <w:spacing w:line="240" w:lineRule="auto"/>
      </w:pPr>
      <w:r>
        <w:separator/>
      </w:r>
    </w:p>
  </w:endnote>
  <w:endnote w:type="continuationSeparator" w:id="0">
    <w:p w14:paraId="21631B13" w14:textId="77777777" w:rsidR="00C24BB4" w:rsidRDefault="00C24B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027B" w14:textId="77777777" w:rsidR="00000000" w:rsidRDefault="00000000">
    <w:pPr>
      <w:pStyle w:val="a5"/>
      <w:jc w:val="center"/>
    </w:pPr>
  </w:p>
  <w:p w14:paraId="09200FB7" w14:textId="77777777"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7F2D" w14:textId="77777777" w:rsidR="00C24BB4" w:rsidRDefault="00C24BB4">
      <w:pPr>
        <w:spacing w:line="240" w:lineRule="auto"/>
      </w:pPr>
      <w:r>
        <w:separator/>
      </w:r>
    </w:p>
  </w:footnote>
  <w:footnote w:type="continuationSeparator" w:id="0">
    <w:p w14:paraId="6C9E1220" w14:textId="77777777" w:rsidR="00C24BB4" w:rsidRDefault="00C24B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85640"/>
      <w:docPartObj>
        <w:docPartGallery w:val="Page Numbers (Top of Page)"/>
        <w:docPartUnique/>
      </w:docPartObj>
    </w:sdtPr>
    <w:sdtContent>
      <w:p w14:paraId="3B394817" w14:textId="77777777" w:rsidR="00000000" w:rsidRDefault="00482C30">
        <w:pPr>
          <w:pStyle w:val="a3"/>
          <w:jc w:val="center"/>
        </w:pPr>
        <w:r>
          <w:fldChar w:fldCharType="begin"/>
        </w:r>
        <w:r>
          <w:instrText>PAGE   \* MERGEFORMAT</w:instrText>
        </w:r>
        <w:r>
          <w:fldChar w:fldCharType="separate"/>
        </w:r>
        <w:r w:rsidR="00E74075" w:rsidRPr="00E74075">
          <w:rPr>
            <w:noProof/>
            <w:lang w:val="ru-RU"/>
          </w:rPr>
          <w:t>2</w:t>
        </w:r>
        <w:r>
          <w:fldChar w:fldCharType="end"/>
        </w:r>
      </w:p>
    </w:sdtContent>
  </w:sdt>
  <w:p w14:paraId="1F8F6224"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E185E"/>
    <w:multiLevelType w:val="hybridMultilevel"/>
    <w:tmpl w:val="B94C07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4617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2C30"/>
    <w:rsid w:val="000F21E3"/>
    <w:rsid w:val="00156E29"/>
    <w:rsid w:val="00185971"/>
    <w:rsid w:val="00191352"/>
    <w:rsid w:val="00192955"/>
    <w:rsid w:val="001A38D6"/>
    <w:rsid w:val="001E7ED1"/>
    <w:rsid w:val="002151F8"/>
    <w:rsid w:val="002772CD"/>
    <w:rsid w:val="002A0BAE"/>
    <w:rsid w:val="002F319C"/>
    <w:rsid w:val="003D09E2"/>
    <w:rsid w:val="003D6F50"/>
    <w:rsid w:val="004241F6"/>
    <w:rsid w:val="00452743"/>
    <w:rsid w:val="00482C30"/>
    <w:rsid w:val="004C6AD2"/>
    <w:rsid w:val="004E4B3E"/>
    <w:rsid w:val="004F76AE"/>
    <w:rsid w:val="0051026C"/>
    <w:rsid w:val="006571A8"/>
    <w:rsid w:val="00685C89"/>
    <w:rsid w:val="00716A67"/>
    <w:rsid w:val="00737D52"/>
    <w:rsid w:val="00780F7F"/>
    <w:rsid w:val="00797A74"/>
    <w:rsid w:val="008B4972"/>
    <w:rsid w:val="00967DC9"/>
    <w:rsid w:val="00A121AD"/>
    <w:rsid w:val="00A47608"/>
    <w:rsid w:val="00A64505"/>
    <w:rsid w:val="00AD1E6B"/>
    <w:rsid w:val="00B06EB3"/>
    <w:rsid w:val="00B52492"/>
    <w:rsid w:val="00B9463D"/>
    <w:rsid w:val="00BF0845"/>
    <w:rsid w:val="00C24BB4"/>
    <w:rsid w:val="00C35FE8"/>
    <w:rsid w:val="00C71728"/>
    <w:rsid w:val="00CB47F4"/>
    <w:rsid w:val="00DA12EA"/>
    <w:rsid w:val="00DC22F5"/>
    <w:rsid w:val="00DE7AEE"/>
    <w:rsid w:val="00E74075"/>
    <w:rsid w:val="00EB47BB"/>
    <w:rsid w:val="00F06433"/>
    <w:rsid w:val="00F34A4A"/>
    <w:rsid w:val="00FB13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590B"/>
  <w15:docId w15:val="{D7BBD99D-9054-480C-B85F-495F5FD6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82C30"/>
    <w:pPr>
      <w:suppressAutoHyphens/>
      <w:autoSpaceDN w:val="0"/>
      <w:spacing w:after="0"/>
      <w:textAlignment w:val="baseline"/>
    </w:pPr>
    <w:rPr>
      <w:rFonts w:ascii="Arial" w:eastAsia="Arial" w:hAnsi="Arial" w:cs="Arial"/>
      <w:color w:val="000000"/>
      <w:kern w:val="3"/>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82C30"/>
    <w:pPr>
      <w:suppressAutoHyphens/>
      <w:autoSpaceDN w:val="0"/>
      <w:spacing w:after="0"/>
      <w:textAlignment w:val="baseline"/>
    </w:pPr>
    <w:rPr>
      <w:rFonts w:ascii="Arial" w:eastAsia="Arial" w:hAnsi="Arial" w:cs="Arial"/>
      <w:color w:val="000000"/>
      <w:kern w:val="3"/>
      <w:lang w:val="en-US" w:eastAsia="zh-CN" w:bidi="hi-IN"/>
    </w:rPr>
  </w:style>
  <w:style w:type="paragraph" w:customStyle="1" w:styleId="Textbody">
    <w:name w:val="Text body"/>
    <w:basedOn w:val="Standard"/>
    <w:rsid w:val="00482C30"/>
    <w:pPr>
      <w:spacing w:after="140" w:line="288" w:lineRule="auto"/>
    </w:pPr>
  </w:style>
  <w:style w:type="paragraph" w:styleId="a3">
    <w:name w:val="header"/>
    <w:basedOn w:val="Standard"/>
    <w:link w:val="a4"/>
    <w:uiPriority w:val="99"/>
    <w:rsid w:val="00482C30"/>
  </w:style>
  <w:style w:type="character" w:customStyle="1" w:styleId="a4">
    <w:name w:val="Верхній колонтитул Знак"/>
    <w:basedOn w:val="a0"/>
    <w:link w:val="a3"/>
    <w:uiPriority w:val="99"/>
    <w:rsid w:val="00482C30"/>
    <w:rPr>
      <w:rFonts w:ascii="Arial" w:eastAsia="Arial" w:hAnsi="Arial" w:cs="Arial"/>
      <w:color w:val="000000"/>
      <w:kern w:val="3"/>
      <w:lang w:val="en-US" w:eastAsia="zh-CN" w:bidi="hi-IN"/>
    </w:rPr>
  </w:style>
  <w:style w:type="paragraph" w:customStyle="1" w:styleId="1">
    <w:name w:val="Без интервала1"/>
    <w:rsid w:val="00482C30"/>
    <w:pPr>
      <w:spacing w:after="0" w:line="240" w:lineRule="auto"/>
    </w:pPr>
    <w:rPr>
      <w:rFonts w:ascii="Calibri" w:eastAsia="Times New Roman" w:hAnsi="Calibri" w:cs="Times New Roman"/>
    </w:rPr>
  </w:style>
  <w:style w:type="paragraph" w:styleId="a5">
    <w:name w:val="footer"/>
    <w:basedOn w:val="a"/>
    <w:link w:val="a6"/>
    <w:uiPriority w:val="99"/>
    <w:unhideWhenUsed/>
    <w:rsid w:val="00482C30"/>
    <w:pPr>
      <w:tabs>
        <w:tab w:val="center" w:pos="4677"/>
        <w:tab w:val="right" w:pos="9355"/>
      </w:tabs>
      <w:spacing w:line="240" w:lineRule="auto"/>
    </w:pPr>
    <w:rPr>
      <w:rFonts w:cs="Mangal"/>
      <w:szCs w:val="20"/>
    </w:rPr>
  </w:style>
  <w:style w:type="character" w:customStyle="1" w:styleId="a6">
    <w:name w:val="Нижній колонтитул Знак"/>
    <w:basedOn w:val="a0"/>
    <w:link w:val="a5"/>
    <w:uiPriority w:val="99"/>
    <w:rsid w:val="00482C30"/>
    <w:rPr>
      <w:rFonts w:ascii="Arial" w:eastAsia="Arial" w:hAnsi="Arial" w:cs="Mangal"/>
      <w:color w:val="000000"/>
      <w:kern w:val="3"/>
      <w:szCs w:val="20"/>
      <w:lang w:val="en-US" w:eastAsia="zh-CN" w:bidi="hi-IN"/>
    </w:rPr>
  </w:style>
  <w:style w:type="character" w:customStyle="1" w:styleId="rvts9">
    <w:name w:val="rvts9"/>
    <w:basedOn w:val="a0"/>
    <w:rsid w:val="00BF0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D6C7-D465-4666-B527-05C6A0AC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1710</Words>
  <Characters>976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Голоцван Олександр Васильович</cp:lastModifiedBy>
  <cp:revision>15</cp:revision>
  <cp:lastPrinted>2025-12-24T09:55:00Z</cp:lastPrinted>
  <dcterms:created xsi:type="dcterms:W3CDTF">2021-07-08T11:52:00Z</dcterms:created>
  <dcterms:modified xsi:type="dcterms:W3CDTF">2025-12-24T09:57:00Z</dcterms:modified>
</cp:coreProperties>
</file>