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051D" w14:textId="77777777" w:rsidR="004111A3" w:rsidRDefault="004111A3">
      <w:pPr>
        <w:widowControl w:val="0"/>
        <w:pBdr>
          <w:top w:val="nil"/>
          <w:left w:val="nil"/>
          <w:bottom w:val="nil"/>
          <w:right w:val="nil"/>
          <w:between w:val="nil"/>
        </w:pBdr>
        <w:spacing w:after="0" w:line="276" w:lineRule="auto"/>
        <w:jc w:val="left"/>
      </w:pPr>
    </w:p>
    <w:p w14:paraId="75290F82" w14:textId="77777777" w:rsidR="004111A3" w:rsidRDefault="00A909B0">
      <w:pPr>
        <w:pStyle w:val="1"/>
        <w:rPr>
          <w:b w:val="0"/>
        </w:rPr>
      </w:pPr>
      <w:r>
        <w:t>ТЕХНІЧНЕ ЗАВДАННЯ</w:t>
      </w:r>
    </w:p>
    <w:p w14:paraId="4344F6AC" w14:textId="77777777" w:rsidR="004111A3" w:rsidRDefault="004111A3">
      <w:pPr>
        <w:spacing w:after="0"/>
        <w:rPr>
          <w:b/>
        </w:rPr>
      </w:pPr>
    </w:p>
    <w:p w14:paraId="47B7F57B" w14:textId="77777777" w:rsidR="004111A3" w:rsidRDefault="00A909B0">
      <w:pPr>
        <w:spacing w:after="0"/>
        <w:rPr>
          <w:b/>
          <w:sz w:val="28"/>
          <w:szCs w:val="28"/>
        </w:rPr>
      </w:pPr>
      <w:bookmarkStart w:id="0" w:name="_heading=h.9uq2eiidz1g7" w:colFirst="0" w:colLast="0"/>
      <w:bookmarkEnd w:id="0"/>
      <w:r>
        <w:rPr>
          <w:b/>
        </w:rPr>
        <w:t>Номер проєкту:  101175830 — 23-EU-TG-RO-MD-UA GGR BCP</w:t>
      </w:r>
      <w:r>
        <w:rPr>
          <w:b/>
          <w:sz w:val="28"/>
          <w:szCs w:val="28"/>
        </w:rPr>
        <w:t xml:space="preserve"> </w:t>
      </w:r>
    </w:p>
    <w:p w14:paraId="77515715" w14:textId="77777777" w:rsidR="004111A3" w:rsidRDefault="00A909B0">
      <w:pPr>
        <w:spacing w:after="0"/>
        <w:rPr>
          <w:b/>
        </w:rPr>
      </w:pPr>
      <w:r>
        <w:rPr>
          <w:b/>
        </w:rPr>
        <w:t>Назва проєкту</w:t>
      </w:r>
      <w:r>
        <w:t xml:space="preserve">: </w:t>
      </w:r>
      <w:r>
        <w:rPr>
          <w:b/>
        </w:rPr>
        <w:t>RO-MD–UA «Організація транспортних потоків з метою підвищення пропускної спроможності інфраструктури, безпеки та ефективності послуг з перетину кордону на спільному автомобільному ПП Галац/</w:t>
      </w:r>
      <w:proofErr w:type="spellStart"/>
      <w:r>
        <w:rPr>
          <w:b/>
        </w:rPr>
        <w:t>Джурджулешти</w:t>
      </w:r>
      <w:proofErr w:type="spellEnd"/>
      <w:r>
        <w:rPr>
          <w:b/>
        </w:rPr>
        <w:t xml:space="preserve">/Рені» </w:t>
      </w:r>
    </w:p>
    <w:p w14:paraId="0686B3F3" w14:textId="77777777" w:rsidR="004111A3" w:rsidRDefault="00A909B0">
      <w:pPr>
        <w:spacing w:after="280"/>
      </w:pPr>
      <w:r>
        <w:rPr>
          <w:b/>
        </w:rPr>
        <w:t>Тривалість послуг</w:t>
      </w:r>
      <w:r>
        <w:t>: до 30.04.2028</w:t>
      </w:r>
    </w:p>
    <w:p w14:paraId="78B2135E" w14:textId="77777777" w:rsidR="004111A3" w:rsidRDefault="00A909B0">
      <w:pPr>
        <w:spacing w:after="0"/>
        <w:rPr>
          <w:b/>
        </w:rPr>
      </w:pPr>
      <w:r>
        <w:rPr>
          <w:b/>
        </w:rPr>
        <w:t xml:space="preserve">Номер проєкту:  101122743 — 22-EU-TG-HU-UA </w:t>
      </w:r>
      <w:proofErr w:type="spellStart"/>
      <w:r>
        <w:rPr>
          <w:b/>
        </w:rPr>
        <w:t>Road</w:t>
      </w:r>
      <w:proofErr w:type="spellEnd"/>
      <w:r>
        <w:rPr>
          <w:b/>
        </w:rPr>
        <w:t> </w:t>
      </w:r>
    </w:p>
    <w:p w14:paraId="629DEFC9" w14:textId="77777777" w:rsidR="004111A3" w:rsidRDefault="00A909B0">
      <w:pPr>
        <w:spacing w:after="0"/>
      </w:pPr>
      <w:r>
        <w:rPr>
          <w:b/>
        </w:rPr>
        <w:t>Назва проєкту</w:t>
      </w:r>
      <w:r>
        <w:t xml:space="preserve">: </w:t>
      </w:r>
      <w:r>
        <w:rPr>
          <w:b/>
        </w:rPr>
        <w:t>Смуги солідарності ЄС-Україна - модернізація двох основних автомобільних пунктів перетину кордону між Угорщиною та Україною</w:t>
      </w:r>
    </w:p>
    <w:p w14:paraId="6004EEEC" w14:textId="77777777" w:rsidR="004111A3" w:rsidRDefault="00A909B0">
      <w:pPr>
        <w:spacing w:after="280"/>
      </w:pPr>
      <w:r>
        <w:rPr>
          <w:b/>
        </w:rPr>
        <w:t>Тривалість послуг</w:t>
      </w:r>
      <w:r>
        <w:t>: до 28.02.2027</w:t>
      </w:r>
    </w:p>
    <w:p w14:paraId="384ECC12" w14:textId="77777777" w:rsidR="004111A3" w:rsidRDefault="00A909B0">
      <w:pPr>
        <w:spacing w:after="0"/>
        <w:rPr>
          <w:b/>
        </w:rPr>
      </w:pPr>
      <w:r>
        <w:rPr>
          <w:b/>
        </w:rPr>
        <w:t xml:space="preserve">Номер проєкту:  101122932 — 22-EU-TG-PL-UA </w:t>
      </w:r>
      <w:proofErr w:type="spellStart"/>
      <w:r>
        <w:rPr>
          <w:b/>
        </w:rPr>
        <w:t>roads</w:t>
      </w:r>
      <w:proofErr w:type="spellEnd"/>
      <w:r>
        <w:rPr>
          <w:b/>
        </w:rPr>
        <w:t xml:space="preserve"> </w:t>
      </w:r>
      <w:proofErr w:type="spellStart"/>
      <w:r>
        <w:rPr>
          <w:b/>
        </w:rPr>
        <w:t>BCPs</w:t>
      </w:r>
      <w:proofErr w:type="spellEnd"/>
      <w:r>
        <w:rPr>
          <w:b/>
        </w:rPr>
        <w:t xml:space="preserve"> </w:t>
      </w:r>
    </w:p>
    <w:p w14:paraId="41F79D70" w14:textId="77777777" w:rsidR="004111A3" w:rsidRDefault="00A909B0">
      <w:pPr>
        <w:spacing w:after="0"/>
        <w:rPr>
          <w:b/>
        </w:rPr>
      </w:pPr>
      <w:r>
        <w:rPr>
          <w:b/>
        </w:rPr>
        <w:t>Назва проєкту</w:t>
      </w:r>
      <w:r>
        <w:t xml:space="preserve">: </w:t>
      </w:r>
      <w:r>
        <w:rPr>
          <w:b/>
        </w:rPr>
        <w:t xml:space="preserve">Смуги солідарності Україна-ЄС. Оптимізація та модернізація транспортних потоків з точки зору пропускної спроможності інфраструктури, </w:t>
      </w:r>
      <w:proofErr w:type="spellStart"/>
      <w:r>
        <w:rPr>
          <w:b/>
        </w:rPr>
        <w:t>інтероперабельності</w:t>
      </w:r>
      <w:proofErr w:type="spellEnd"/>
      <w:r>
        <w:rPr>
          <w:b/>
        </w:rPr>
        <w:t xml:space="preserve"> та ефективності послуг на основних пунктах перетину кордону з Польщею/Україною</w:t>
      </w:r>
    </w:p>
    <w:p w14:paraId="535FB5CA" w14:textId="77777777" w:rsidR="004111A3" w:rsidRDefault="00A909B0">
      <w:pPr>
        <w:spacing w:after="280"/>
      </w:pPr>
      <w:r>
        <w:rPr>
          <w:b/>
        </w:rPr>
        <w:t>Тривалість послуг</w:t>
      </w:r>
      <w:r>
        <w:t>: до 31.07.2027</w:t>
      </w:r>
    </w:p>
    <w:p w14:paraId="19CDFA00" w14:textId="77777777" w:rsidR="004111A3" w:rsidRDefault="00A909B0">
      <w:pPr>
        <w:spacing w:after="0"/>
        <w:rPr>
          <w:rFonts w:ascii="Calibri" w:eastAsia="Calibri" w:hAnsi="Calibri" w:cs="Calibri"/>
          <w:b/>
        </w:rPr>
      </w:pPr>
      <w:r>
        <w:rPr>
          <w:b/>
        </w:rPr>
        <w:t>Номер проєкту:  101122830 — 22-EU-TG-SCBI ROUKR</w:t>
      </w:r>
    </w:p>
    <w:p w14:paraId="0DFC8FE5" w14:textId="77777777" w:rsidR="004111A3" w:rsidRDefault="00A909B0">
      <w:pPr>
        <w:spacing w:after="0"/>
        <w:rPr>
          <w:b/>
        </w:rPr>
      </w:pPr>
      <w:r>
        <w:rPr>
          <w:b/>
        </w:rPr>
        <w:t xml:space="preserve">Назва </w:t>
      </w:r>
      <w:proofErr w:type="spellStart"/>
      <w:r>
        <w:rPr>
          <w:b/>
        </w:rPr>
        <w:t>проєкту</w:t>
      </w:r>
      <w:proofErr w:type="spellEnd"/>
      <w:r>
        <w:t xml:space="preserve">: </w:t>
      </w:r>
      <w:r>
        <w:rPr>
          <w:b/>
        </w:rPr>
        <w:t xml:space="preserve">Транскордонна інфраструктура </w:t>
      </w:r>
      <w:proofErr w:type="spellStart"/>
      <w:r>
        <w:rPr>
          <w:b/>
        </w:rPr>
        <w:t>Siret</w:t>
      </w:r>
      <w:proofErr w:type="spellEnd"/>
      <w:r>
        <w:rPr>
          <w:b/>
        </w:rPr>
        <w:t xml:space="preserve"> RO-UKR</w:t>
      </w:r>
    </w:p>
    <w:p w14:paraId="2D28F904" w14:textId="77777777" w:rsidR="004111A3" w:rsidRDefault="00A909B0">
      <w:pPr>
        <w:spacing w:after="280"/>
      </w:pPr>
      <w:r>
        <w:rPr>
          <w:b/>
        </w:rPr>
        <w:t>Тривалість послуг</w:t>
      </w:r>
      <w:r>
        <w:t>: до 28.02.2027</w:t>
      </w:r>
    </w:p>
    <w:p w14:paraId="17E5EA78" w14:textId="77777777" w:rsidR="004111A3" w:rsidRDefault="00A909B0">
      <w:pPr>
        <w:spacing w:before="280" w:after="280"/>
        <w:rPr>
          <w:b/>
        </w:rPr>
      </w:pPr>
      <w:r>
        <w:rPr>
          <w:b/>
        </w:rPr>
        <w:t>Посада:</w:t>
      </w:r>
      <w:r>
        <w:t xml:space="preserve"> Зовнішній аудитор для підготовки довідки про фінансову звітність </w:t>
      </w:r>
      <w:r>
        <w:br/>
      </w:r>
      <w:r>
        <w:rPr>
          <w:b/>
        </w:rPr>
        <w:t>Проєкт:</w:t>
      </w:r>
      <w:r>
        <w:t xml:space="preserve"> Ініціатива CEF </w:t>
      </w:r>
      <w:r>
        <w:br/>
      </w:r>
      <w:r>
        <w:rPr>
          <w:b/>
        </w:rPr>
        <w:t>Організація, що підтримує:</w:t>
      </w:r>
      <w:r>
        <w:t> CEF 50%, Державний бюджет 50%</w:t>
      </w:r>
    </w:p>
    <w:p w14:paraId="6A60B32A" w14:textId="77777777" w:rsidR="004111A3" w:rsidRDefault="00A909B0">
      <w:pPr>
        <w:spacing w:before="280" w:after="280"/>
        <w:ind w:right="-142"/>
        <w:rPr>
          <w:b/>
        </w:rPr>
      </w:pPr>
      <w:r>
        <w:rPr>
          <w:b/>
        </w:rPr>
        <w:t>Місцезнаходження:</w:t>
      </w:r>
      <w:r>
        <w:t> Україна (на місці та дистанційно)</w:t>
      </w:r>
      <w:r>
        <w:br/>
      </w:r>
      <w:r>
        <w:rPr>
          <w:b/>
        </w:rPr>
        <w:t>Тип контракту:</w:t>
      </w:r>
      <w:r>
        <w:t> Фіксований термін, повна зайнятість</w:t>
      </w:r>
      <w:r>
        <w:br/>
      </w:r>
      <w:r>
        <w:rPr>
          <w:b/>
        </w:rPr>
        <w:t>Підпорядковується:</w:t>
      </w:r>
      <w:r>
        <w:t> </w:t>
      </w:r>
      <w:r>
        <w:rPr>
          <w:sz w:val="26"/>
          <w:szCs w:val="26"/>
        </w:rPr>
        <w:t>Державне агентство відновлення та розвитку інфраструктури України</w:t>
      </w:r>
      <w:r>
        <w:rPr>
          <w:b/>
        </w:rPr>
        <w:t xml:space="preserve"> </w:t>
      </w:r>
    </w:p>
    <w:p w14:paraId="1AC64D98" w14:textId="77777777" w:rsidR="004111A3" w:rsidRDefault="004111A3">
      <w:pPr>
        <w:spacing w:after="0"/>
        <w:ind w:firstLine="567"/>
        <w:rPr>
          <w:b/>
        </w:rPr>
      </w:pPr>
    </w:p>
    <w:p w14:paraId="449B72F2" w14:textId="77777777" w:rsidR="004111A3" w:rsidRDefault="004111A3">
      <w:pPr>
        <w:spacing w:after="0"/>
        <w:ind w:firstLine="567"/>
        <w:rPr>
          <w:b/>
        </w:rPr>
      </w:pPr>
    </w:p>
    <w:p w14:paraId="1A9586A2" w14:textId="77777777" w:rsidR="004111A3" w:rsidRDefault="004111A3">
      <w:pPr>
        <w:spacing w:after="0"/>
        <w:ind w:firstLine="567"/>
        <w:rPr>
          <w:b/>
        </w:rPr>
      </w:pPr>
    </w:p>
    <w:p w14:paraId="755AAAB9" w14:textId="77777777" w:rsidR="004111A3" w:rsidRDefault="004111A3">
      <w:pPr>
        <w:spacing w:after="0"/>
        <w:ind w:firstLine="567"/>
        <w:rPr>
          <w:b/>
        </w:rPr>
      </w:pPr>
    </w:p>
    <w:p w14:paraId="32546C0D" w14:textId="77777777" w:rsidR="004111A3" w:rsidRDefault="004111A3">
      <w:pPr>
        <w:spacing w:after="0"/>
        <w:ind w:firstLine="567"/>
        <w:rPr>
          <w:b/>
        </w:rPr>
      </w:pPr>
    </w:p>
    <w:p w14:paraId="6BC1F77A" w14:textId="77777777" w:rsidR="004111A3" w:rsidRDefault="004111A3">
      <w:pPr>
        <w:spacing w:after="0"/>
        <w:ind w:firstLine="567"/>
        <w:rPr>
          <w:b/>
        </w:rPr>
      </w:pPr>
    </w:p>
    <w:p w14:paraId="0B3FEB79" w14:textId="77777777" w:rsidR="004111A3" w:rsidRDefault="004111A3">
      <w:pPr>
        <w:spacing w:after="0"/>
        <w:ind w:firstLine="567"/>
        <w:rPr>
          <w:b/>
        </w:rPr>
      </w:pPr>
    </w:p>
    <w:p w14:paraId="2E394704" w14:textId="77777777" w:rsidR="004111A3" w:rsidRDefault="004111A3">
      <w:pPr>
        <w:spacing w:after="0"/>
        <w:ind w:firstLine="567"/>
        <w:rPr>
          <w:b/>
        </w:rPr>
      </w:pPr>
    </w:p>
    <w:p w14:paraId="666637EC" w14:textId="77777777" w:rsidR="004111A3" w:rsidRDefault="004111A3">
      <w:pPr>
        <w:spacing w:after="0"/>
        <w:ind w:firstLine="567"/>
        <w:rPr>
          <w:b/>
        </w:rPr>
      </w:pPr>
    </w:p>
    <w:p w14:paraId="7A7C3FE8" w14:textId="77777777" w:rsidR="004111A3" w:rsidRDefault="004111A3">
      <w:pPr>
        <w:spacing w:after="0"/>
        <w:ind w:firstLine="567"/>
        <w:rPr>
          <w:b/>
        </w:rPr>
      </w:pPr>
    </w:p>
    <w:p w14:paraId="0BACAC0F" w14:textId="77777777" w:rsidR="004111A3" w:rsidRDefault="004111A3">
      <w:pPr>
        <w:spacing w:after="0"/>
        <w:ind w:firstLine="567"/>
        <w:rPr>
          <w:b/>
        </w:rPr>
      </w:pPr>
    </w:p>
    <w:p w14:paraId="7A5169D4" w14:textId="77777777" w:rsidR="004111A3" w:rsidRDefault="004111A3">
      <w:pPr>
        <w:spacing w:after="0"/>
        <w:ind w:firstLine="567"/>
        <w:rPr>
          <w:b/>
        </w:rPr>
      </w:pPr>
    </w:p>
    <w:p w14:paraId="2055D491" w14:textId="77777777" w:rsidR="004111A3" w:rsidRDefault="00A909B0">
      <w:pPr>
        <w:spacing w:after="0"/>
        <w:ind w:firstLine="567"/>
        <w:rPr>
          <w:b/>
        </w:rPr>
      </w:pPr>
      <w:r>
        <w:br w:type="page"/>
      </w:r>
    </w:p>
    <w:p w14:paraId="17C87D8B" w14:textId="77777777" w:rsidR="004111A3" w:rsidRDefault="00A909B0">
      <w:pPr>
        <w:spacing w:after="0"/>
        <w:ind w:firstLine="567"/>
        <w:rPr>
          <w:b/>
        </w:rPr>
      </w:pPr>
      <w:r>
        <w:rPr>
          <w:b/>
        </w:rPr>
        <w:lastRenderedPageBreak/>
        <w:t>Основні вимоги до аудитора</w:t>
      </w:r>
    </w:p>
    <w:p w14:paraId="01850030" w14:textId="77777777" w:rsidR="004111A3" w:rsidRDefault="00A909B0">
      <w:pPr>
        <w:spacing w:after="0"/>
        <w:ind w:firstLine="567"/>
        <w:rPr>
          <w:sz w:val="23"/>
          <w:szCs w:val="23"/>
        </w:rPr>
      </w:pPr>
      <w:r>
        <w:t xml:space="preserve">Від Аудитора </w:t>
      </w:r>
      <w:proofErr w:type="spellStart"/>
      <w:r>
        <w:t>вимагатиметься</w:t>
      </w:r>
      <w:proofErr w:type="spellEnd"/>
      <w:r>
        <w:t xml:space="preserve"> надання таких послуг, як підготовка фінансової частини </w:t>
      </w:r>
      <w:r>
        <w:rPr>
          <w:sz w:val="23"/>
          <w:szCs w:val="23"/>
        </w:rPr>
        <w:t>попередньої та періодичної звітності, а саме довідки про фінансову звітність (CFS) відповідно до графіка, порогових значень та умов, викладених в Грантовій угоді проєкту.</w:t>
      </w:r>
    </w:p>
    <w:p w14:paraId="6664D7E0" w14:textId="77777777" w:rsidR="004111A3" w:rsidRDefault="00A909B0">
      <w:pPr>
        <w:spacing w:after="0"/>
        <w:ind w:firstLine="567"/>
        <w:rPr>
          <w:sz w:val="23"/>
          <w:szCs w:val="23"/>
        </w:rPr>
      </w:pPr>
      <w:r>
        <w:rPr>
          <w:sz w:val="23"/>
          <w:szCs w:val="23"/>
        </w:rPr>
        <w:t>Довідки повинні бути складені за зразком, опублікованим на Порталі фінансування та тендерів ЄС; електронний портал та система обміну, що управляється Європейською Комісією та використовується нею самою та іншими інституціями, органами, офісами чи агентствами ЄС для управління їхніми програмами фінансування (гранти, закупівлі, призи тощо), покривати задекларовані витрати на основі фактичних витрат та витрат відповідно до звичайної практики обліку витрат (за наявності).</w:t>
      </w:r>
    </w:p>
    <w:p w14:paraId="45BA8D2F" w14:textId="77777777" w:rsidR="004111A3" w:rsidRDefault="00A909B0">
      <w:pPr>
        <w:spacing w:after="0"/>
        <w:ind w:firstLine="567"/>
        <w:rPr>
          <w:sz w:val="23"/>
          <w:szCs w:val="23"/>
        </w:rPr>
      </w:pPr>
      <w:r>
        <w:rPr>
          <w:sz w:val="23"/>
          <w:szCs w:val="23"/>
        </w:rPr>
        <w:t>Послуга повинна надаватися кваліфікованим затвердженим зовнішнім аудитором, який є незалежним і відповідає Директиві 2006/43/ЄС18.</w:t>
      </w:r>
    </w:p>
    <w:p w14:paraId="20C71D17" w14:textId="77777777" w:rsidR="004111A3" w:rsidRDefault="00A909B0">
      <w:pPr>
        <w:spacing w:after="0"/>
        <w:ind w:firstLine="567"/>
      </w:pPr>
      <w:r>
        <w:t xml:space="preserve">Перевірка повинна проводитися відповідно до найвищих професійних стандартів, щоб гарантувати, що фінансові звіти відповідають положенням Угоди і що задекларовані витрати є прийнятними. </w:t>
      </w:r>
    </w:p>
    <w:p w14:paraId="11B3CD1B" w14:textId="77777777" w:rsidR="004111A3" w:rsidRDefault="00A909B0">
      <w:pPr>
        <w:spacing w:after="0"/>
        <w:ind w:firstLine="567"/>
      </w:pPr>
      <w:r>
        <w:t>Аудитор повинен мати досвід проведення аудиту документації та рахунків, пов'язаних з аналогічними за характером Проектами, які фінансуються міжнародними фінансовими організаціями.</w:t>
      </w:r>
    </w:p>
    <w:p w14:paraId="39D03ECE" w14:textId="77777777" w:rsidR="004111A3" w:rsidRDefault="004111A3">
      <w:pPr>
        <w:spacing w:before="280" w:after="280"/>
      </w:pPr>
    </w:p>
    <w:p w14:paraId="05062EF2" w14:textId="77777777" w:rsidR="004111A3" w:rsidRDefault="004111A3">
      <w:pPr>
        <w:spacing w:before="280" w:after="280"/>
      </w:pPr>
    </w:p>
    <w:p w14:paraId="59439FAD" w14:textId="77777777" w:rsidR="004111A3" w:rsidRDefault="004111A3">
      <w:pPr>
        <w:spacing w:before="280" w:after="280"/>
      </w:pPr>
    </w:p>
    <w:p w14:paraId="12519EAB" w14:textId="77777777" w:rsidR="004111A3" w:rsidRDefault="004111A3">
      <w:pPr>
        <w:spacing w:before="280" w:after="280"/>
      </w:pPr>
    </w:p>
    <w:p w14:paraId="6040D265" w14:textId="77777777" w:rsidR="004111A3" w:rsidRDefault="004111A3">
      <w:pPr>
        <w:spacing w:before="280" w:after="280"/>
      </w:pPr>
    </w:p>
    <w:p w14:paraId="31D46973" w14:textId="77777777" w:rsidR="004111A3" w:rsidRDefault="004111A3">
      <w:pPr>
        <w:spacing w:before="280" w:after="280"/>
      </w:pPr>
    </w:p>
    <w:p w14:paraId="3CDE24D0" w14:textId="77777777" w:rsidR="004111A3" w:rsidRDefault="004111A3">
      <w:pPr>
        <w:spacing w:before="280" w:after="280"/>
      </w:pPr>
    </w:p>
    <w:p w14:paraId="313716B5" w14:textId="77777777" w:rsidR="004111A3" w:rsidRDefault="004111A3">
      <w:pPr>
        <w:spacing w:before="280" w:after="280"/>
      </w:pPr>
    </w:p>
    <w:p w14:paraId="296EDABF" w14:textId="77777777" w:rsidR="004111A3" w:rsidRDefault="004111A3">
      <w:pPr>
        <w:spacing w:before="280" w:after="280"/>
      </w:pPr>
    </w:p>
    <w:p w14:paraId="1CCAA5AF" w14:textId="77777777" w:rsidR="004111A3" w:rsidRDefault="004111A3">
      <w:pPr>
        <w:spacing w:before="280" w:after="280"/>
      </w:pPr>
    </w:p>
    <w:p w14:paraId="2542EB50" w14:textId="77777777" w:rsidR="004111A3" w:rsidRDefault="004111A3">
      <w:pPr>
        <w:spacing w:before="280" w:after="280"/>
      </w:pPr>
    </w:p>
    <w:p w14:paraId="134A3382" w14:textId="77777777" w:rsidR="004111A3" w:rsidRDefault="004111A3">
      <w:pPr>
        <w:spacing w:before="280" w:after="280"/>
      </w:pPr>
    </w:p>
    <w:p w14:paraId="20A6B4BB" w14:textId="77777777" w:rsidR="004111A3" w:rsidRDefault="004111A3">
      <w:pPr>
        <w:spacing w:before="280" w:after="280"/>
      </w:pPr>
    </w:p>
    <w:p w14:paraId="36702DBF" w14:textId="77777777" w:rsidR="004111A3" w:rsidRDefault="004111A3">
      <w:pPr>
        <w:spacing w:before="280" w:after="280"/>
      </w:pPr>
    </w:p>
    <w:p w14:paraId="0897BAA1" w14:textId="77777777" w:rsidR="004111A3" w:rsidRDefault="004111A3">
      <w:pPr>
        <w:spacing w:before="280" w:after="280"/>
      </w:pPr>
    </w:p>
    <w:p w14:paraId="3FDF557B" w14:textId="77777777" w:rsidR="004111A3" w:rsidRDefault="00A909B0">
      <w:pPr>
        <w:pStyle w:val="30"/>
        <w:jc w:val="both"/>
        <w:rPr>
          <w:rFonts w:ascii="Times New Roman" w:eastAsia="Times New Roman" w:hAnsi="Times New Roman" w:cs="Times New Roman"/>
          <w:b w:val="0"/>
          <w:sz w:val="24"/>
          <w:szCs w:val="24"/>
        </w:rPr>
      </w:pPr>
      <w:r>
        <w:rPr>
          <w:rFonts w:ascii="Times New Roman" w:eastAsia="Times New Roman" w:hAnsi="Times New Roman" w:cs="Times New Roman"/>
          <w:sz w:val="24"/>
          <w:szCs w:val="24"/>
        </w:rPr>
        <w:lastRenderedPageBreak/>
        <w:t>1. Загальна інформація та предмет документа</w:t>
      </w:r>
    </w:p>
    <w:p w14:paraId="75DF22DA" w14:textId="77777777" w:rsidR="004111A3" w:rsidRDefault="00A909B0">
      <w:pPr>
        <w:pBdr>
          <w:top w:val="nil"/>
          <w:left w:val="nil"/>
          <w:bottom w:val="nil"/>
          <w:right w:val="nil"/>
          <w:between w:val="nil"/>
        </w:pBdr>
        <w:rPr>
          <w:color w:val="000000"/>
        </w:rPr>
      </w:pPr>
      <w:r>
        <w:rPr>
          <w:color w:val="000000"/>
        </w:rPr>
        <w:t xml:space="preserve">Сертифікат фінансової звітності (CFS) має бути наданий суб’єктами, які беруть участь у грантах ЄС як </w:t>
      </w:r>
      <w:proofErr w:type="spellStart"/>
      <w:r>
        <w:rPr>
          <w:color w:val="000000"/>
        </w:rPr>
        <w:t>бенефіціари</w:t>
      </w:r>
      <w:proofErr w:type="spellEnd"/>
      <w:r>
        <w:rPr>
          <w:color w:val="000000"/>
        </w:rPr>
        <w:t xml:space="preserve"> або афілійовані суб’єкти («учасники»), за умови, що це передбачено грантовою угодою ЄС та виконуються певні порогові вимоги (див. Лист даних ГУ та статтю 24.2 ГУ, а також Анотовану грантову угоду (AGA), стаття 24.2).</w:t>
      </w:r>
    </w:p>
    <w:p w14:paraId="0C48F6DD" w14:textId="77777777" w:rsidR="004111A3" w:rsidRDefault="00A909B0">
      <w:pPr>
        <w:pBdr>
          <w:top w:val="nil"/>
          <w:left w:val="nil"/>
          <w:bottom w:val="nil"/>
          <w:right w:val="nil"/>
          <w:between w:val="nil"/>
        </w:pBdr>
        <w:rPr>
          <w:color w:val="000000"/>
        </w:rPr>
      </w:pPr>
      <w:r>
        <w:rPr>
          <w:color w:val="000000"/>
        </w:rPr>
        <w:t xml:space="preserve">Метою CFS є надання </w:t>
      </w:r>
      <w:proofErr w:type="spellStart"/>
      <w:r>
        <w:rPr>
          <w:color w:val="000000"/>
        </w:rPr>
        <w:t>грантодавчому</w:t>
      </w:r>
      <w:proofErr w:type="spellEnd"/>
      <w:r>
        <w:rPr>
          <w:color w:val="000000"/>
        </w:rPr>
        <w:t xml:space="preserve"> органу ЄС висновків, які дозволять оцінити, чи відповідають задекларовані витрати, засновані на фактичних витратах або звичайній практиці обліку витрат (якщо така є), а також, за необхідності, доходи умовам, викладеним у грантовій угоді ЄС.</w:t>
      </w:r>
    </w:p>
    <w:p w14:paraId="663344E3" w14:textId="77777777" w:rsidR="004111A3" w:rsidRDefault="00A909B0">
      <w:pPr>
        <w:pBdr>
          <w:top w:val="nil"/>
          <w:left w:val="nil"/>
          <w:bottom w:val="nil"/>
          <w:right w:val="nil"/>
          <w:between w:val="nil"/>
        </w:pBdr>
        <w:rPr>
          <w:color w:val="000000"/>
        </w:rPr>
      </w:pPr>
      <w:r>
        <w:rPr>
          <w:color w:val="000000"/>
        </w:rPr>
        <w:t>Цей документ визначає процедури, які мають бути виконані, охоплення, застосовні стандарти CFS, а також осіб, які мають право його видавати.</w:t>
      </w:r>
    </w:p>
    <w:p w14:paraId="57E6B90A" w14:textId="77777777" w:rsidR="004111A3" w:rsidRDefault="004111A3"/>
    <w:p w14:paraId="4955A925" w14:textId="77777777" w:rsidR="004111A3" w:rsidRDefault="00A909B0">
      <w:pPr>
        <w:pStyle w:val="30"/>
        <w:jc w:val="both"/>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2. Охоплення та застосовні стандарти</w:t>
      </w:r>
    </w:p>
    <w:p w14:paraId="7646DB96" w14:textId="77777777" w:rsidR="004111A3" w:rsidRDefault="00A909B0">
      <w:pPr>
        <w:pBdr>
          <w:top w:val="nil"/>
          <w:left w:val="nil"/>
          <w:bottom w:val="nil"/>
          <w:right w:val="nil"/>
          <w:between w:val="nil"/>
        </w:pBdr>
        <w:rPr>
          <w:color w:val="000000"/>
        </w:rPr>
      </w:pPr>
      <w:r>
        <w:rPr>
          <w:color w:val="000000"/>
        </w:rPr>
        <w:t>CFS є звітом про (фактичні) висновки, підготовленим на основі узгоджених процедур (AUP).</w:t>
      </w:r>
    </w:p>
    <w:p w14:paraId="1762FFF5" w14:textId="77777777" w:rsidR="004111A3" w:rsidRDefault="00A909B0">
      <w:pPr>
        <w:pBdr>
          <w:top w:val="nil"/>
          <w:left w:val="nil"/>
          <w:bottom w:val="nil"/>
          <w:right w:val="nil"/>
          <w:between w:val="nil"/>
        </w:pBdr>
        <w:rPr>
          <w:color w:val="000000"/>
        </w:rPr>
      </w:pPr>
      <w:r>
        <w:rPr>
          <w:color w:val="000000"/>
        </w:rPr>
        <w:t>Перевірка передбачає виконання узгоджених процедур щодо відповідності витрат (а також, за необхідності, доходів), задекларованих у межах грантової угоди [</w:t>
      </w:r>
      <w:r>
        <w:rPr>
          <w:b/>
          <w:color w:val="000000"/>
        </w:rPr>
        <w:t>101175830</w:t>
      </w:r>
      <w:r>
        <w:rPr>
          <w:color w:val="000000"/>
        </w:rPr>
        <w:t>] — [</w:t>
      </w:r>
      <w:r>
        <w:rPr>
          <w:b/>
          <w:color w:val="000000"/>
        </w:rPr>
        <w:t>23-EU-TG-RO-MD-UA GGR BCP</w:t>
      </w:r>
      <w:r>
        <w:rPr>
          <w:color w:val="000000"/>
        </w:rPr>
        <w:t xml:space="preserve">] («Грантова угода»). </w:t>
      </w:r>
    </w:p>
    <w:p w14:paraId="4C021439" w14:textId="77777777" w:rsidR="004111A3" w:rsidRDefault="00A909B0">
      <w:pPr>
        <w:pBdr>
          <w:top w:val="nil"/>
          <w:left w:val="nil"/>
          <w:bottom w:val="nil"/>
          <w:right w:val="nil"/>
          <w:between w:val="nil"/>
        </w:pBdr>
        <w:rPr>
          <w:color w:val="000000"/>
        </w:rPr>
      </w:pPr>
      <w:r>
        <w:rPr>
          <w:color w:val="000000"/>
        </w:rPr>
        <w:t>Застосовуються такі стандарти:</w:t>
      </w:r>
    </w:p>
    <w:p w14:paraId="06CEADB8" w14:textId="77777777" w:rsidR="004111A3" w:rsidRDefault="00A909B0">
      <w:pPr>
        <w:numPr>
          <w:ilvl w:val="0"/>
          <w:numId w:val="8"/>
        </w:numPr>
        <w:spacing w:before="280" w:after="0"/>
      </w:pPr>
      <w:r>
        <w:t>Міжнародний стандарт супутніх послуг (ISRS) 4400 (переглянутий) «Перевірка на основі узгоджених процедур», виданий Радою з міжнародних стандартів аудиту та гарантійного забезпечення (IAASB).</w:t>
      </w:r>
    </w:p>
    <w:p w14:paraId="41EB2B9C" w14:textId="77777777" w:rsidR="004111A3" w:rsidRDefault="00A909B0">
      <w:pPr>
        <w:numPr>
          <w:ilvl w:val="0"/>
          <w:numId w:val="8"/>
        </w:numPr>
        <w:spacing w:after="0"/>
      </w:pPr>
      <w:r>
        <w:t>Міжнародний кодекс етики професійних бухгалтерів (включаючи міжнародні стандарти незалежності), виданий Радою з міжнародних стандартів етики для бухгалтерів (IESBA), включаючи вимоги щодо незалежності.</w:t>
      </w:r>
    </w:p>
    <w:p w14:paraId="75F4C940" w14:textId="77777777" w:rsidR="004111A3" w:rsidRDefault="00A909B0">
      <w:pPr>
        <w:numPr>
          <w:ilvl w:val="0"/>
          <w:numId w:val="8"/>
        </w:numPr>
        <w:spacing w:after="280"/>
      </w:pPr>
      <w:r>
        <w:t>Міжнародний стандарт контролю якості 1 «Контроль якості для компаній, що здійснюють аудиторські перевірки та огляди фінансової звітності, а також інші гарантійні та супутні послуги» (або еквівалентний).</w:t>
      </w:r>
    </w:p>
    <w:p w14:paraId="4AD98453" w14:textId="77777777" w:rsidR="004111A3" w:rsidRDefault="00A909B0">
      <w:pPr>
        <w:pBdr>
          <w:top w:val="nil"/>
          <w:left w:val="nil"/>
          <w:bottom w:val="nil"/>
          <w:right w:val="nil"/>
          <w:between w:val="nil"/>
        </w:pBdr>
        <w:rPr>
          <w:color w:val="000000"/>
        </w:rPr>
      </w:pPr>
      <w:r>
        <w:rPr>
          <w:color w:val="000000"/>
        </w:rPr>
        <w:t>Вищі контрольні органи, які застосовують стандарти INTOSAI, можуть виконувати процедури відповідно до відповідних Міжнародних стандартів вищих контрольних органів (</w:t>
      </w:r>
      <w:proofErr w:type="spellStart"/>
      <w:r>
        <w:rPr>
          <w:color w:val="000000"/>
        </w:rPr>
        <w:t>ISSAIs</w:t>
      </w:r>
      <w:proofErr w:type="spellEnd"/>
      <w:r>
        <w:rPr>
          <w:color w:val="000000"/>
        </w:rPr>
        <w:t>) та Кодексу етики INTOSAI замість ISRS 4400 (переглянутого) та Кодексу етики професійних бухгалтерів, виданого IAASB та IESBA.</w:t>
      </w:r>
    </w:p>
    <w:p w14:paraId="15B64989" w14:textId="77777777" w:rsidR="004111A3" w:rsidRDefault="00A909B0">
      <w:pPr>
        <w:pBdr>
          <w:top w:val="nil"/>
          <w:left w:val="nil"/>
          <w:bottom w:val="nil"/>
          <w:right w:val="nil"/>
          <w:between w:val="nil"/>
        </w:pBdr>
        <w:rPr>
          <w:color w:val="000000"/>
        </w:rPr>
      </w:pPr>
      <w:r>
        <w:rPr>
          <w:color w:val="000000"/>
        </w:rPr>
        <w:t>CFS має бути виданий відповідно до найвищих професійних стандартів. Фахівець повинен дотримуватись цих Умов посилання, включаючи контрольний список узгоджених процедур та шаблон звіту, без їх змінення. Робота повинна бути спланована таким чином, щоб її виконання було ефективним.</w:t>
      </w:r>
    </w:p>
    <w:p w14:paraId="0D2FB708" w14:textId="77777777" w:rsidR="004111A3" w:rsidRDefault="00A909B0">
      <w:pPr>
        <w:pBdr>
          <w:top w:val="nil"/>
          <w:left w:val="nil"/>
          <w:bottom w:val="nil"/>
          <w:right w:val="nil"/>
          <w:between w:val="nil"/>
        </w:pBdr>
        <w:rPr>
          <w:color w:val="000000"/>
        </w:rPr>
      </w:pPr>
      <w:r>
        <w:rPr>
          <w:color w:val="000000"/>
        </w:rPr>
        <w:t xml:space="preserve">Фахівець має використовувати отримані докази як основу для звіту. Усі важливі аспекти висновків та докази виконання роботи відповідно до цих Умов мають бути задокументовані. Висновки повинні бути описані досить детально, включаючи суми </w:t>
      </w:r>
      <w:r>
        <w:rPr>
          <w:color w:val="000000"/>
        </w:rPr>
        <w:lastRenderedPageBreak/>
        <w:t xml:space="preserve">витрат, що дозволить учаснику та </w:t>
      </w:r>
      <w:proofErr w:type="spellStart"/>
      <w:r>
        <w:rPr>
          <w:color w:val="000000"/>
        </w:rPr>
        <w:t>грантодавчому</w:t>
      </w:r>
      <w:proofErr w:type="spellEnd"/>
      <w:r>
        <w:rPr>
          <w:color w:val="000000"/>
        </w:rPr>
        <w:t xml:space="preserve"> органу ЄС забезпечити належне подальше реагування.</w:t>
      </w:r>
    </w:p>
    <w:p w14:paraId="7A8D7276" w14:textId="77777777" w:rsidR="004111A3" w:rsidRDefault="004111A3"/>
    <w:p w14:paraId="1F6D20CA" w14:textId="77777777" w:rsidR="004111A3" w:rsidRDefault="00A909B0">
      <w:pPr>
        <w:pStyle w:val="30"/>
        <w:jc w:val="both"/>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3. Процедури та очікувані результати</w:t>
      </w:r>
    </w:p>
    <w:p w14:paraId="388FAC0A" w14:textId="77777777" w:rsidR="004111A3" w:rsidRDefault="00A909B0">
      <w:pPr>
        <w:pBdr>
          <w:top w:val="nil"/>
          <w:left w:val="nil"/>
          <w:bottom w:val="nil"/>
          <w:right w:val="nil"/>
          <w:between w:val="nil"/>
        </w:pBdr>
        <w:rPr>
          <w:color w:val="000000"/>
        </w:rPr>
      </w:pPr>
      <w:r>
        <w:rPr>
          <w:color w:val="000000"/>
        </w:rPr>
        <w:t>Процедури, які має виконати фахівець, зазначені у контрольному списку узгоджених процедур.</w:t>
      </w:r>
    </w:p>
    <w:p w14:paraId="7AC7E07C" w14:textId="77777777" w:rsidR="004111A3" w:rsidRDefault="00A909B0">
      <w:pPr>
        <w:pBdr>
          <w:top w:val="nil"/>
          <w:left w:val="nil"/>
          <w:bottom w:val="nil"/>
          <w:right w:val="nil"/>
          <w:between w:val="nil"/>
        </w:pBdr>
        <w:rPr>
          <w:color w:val="000000"/>
        </w:rPr>
      </w:pPr>
      <w:r>
        <w:rPr>
          <w:color w:val="000000"/>
        </w:rPr>
        <w:t>Контрольний список є невід'ємною частиною цих Умов посилання.</w:t>
      </w:r>
    </w:p>
    <w:p w14:paraId="60FBE19E" w14:textId="77777777" w:rsidR="004111A3" w:rsidRDefault="00A909B0">
      <w:pPr>
        <w:pBdr>
          <w:top w:val="nil"/>
          <w:left w:val="nil"/>
          <w:bottom w:val="nil"/>
          <w:right w:val="nil"/>
          <w:between w:val="nil"/>
        </w:pBdr>
        <w:rPr>
          <w:color w:val="000000"/>
        </w:rPr>
      </w:pPr>
      <w:r>
        <w:rPr>
          <w:color w:val="000000"/>
        </w:rPr>
        <w:t>Колонка «Результат» у контрольному списку містить три можливі варіанти висновків:</w:t>
      </w:r>
    </w:p>
    <w:p w14:paraId="3A0B4BE1" w14:textId="77777777" w:rsidR="004111A3" w:rsidRDefault="00A909B0">
      <w:pPr>
        <w:numPr>
          <w:ilvl w:val="0"/>
          <w:numId w:val="9"/>
        </w:numPr>
        <w:spacing w:before="280" w:after="0"/>
      </w:pPr>
      <w:r>
        <w:t>ТАК — стандартний висновок підтверджено, зауважень немає.</w:t>
      </w:r>
    </w:p>
    <w:p w14:paraId="5E6ADCA4" w14:textId="77777777" w:rsidR="004111A3" w:rsidRDefault="00A909B0">
      <w:pPr>
        <w:numPr>
          <w:ilvl w:val="0"/>
          <w:numId w:val="9"/>
        </w:numPr>
        <w:spacing w:after="0"/>
      </w:pPr>
      <w:r>
        <w:t>НІ — стандартний висновок не підтверджено, виявлено виняток.</w:t>
      </w:r>
    </w:p>
    <w:p w14:paraId="449F5A9E" w14:textId="77777777" w:rsidR="004111A3" w:rsidRDefault="00A909B0">
      <w:pPr>
        <w:numPr>
          <w:ilvl w:val="0"/>
          <w:numId w:val="9"/>
        </w:numPr>
        <w:spacing w:after="280"/>
      </w:pPr>
      <w:r>
        <w:t>Н.П. (не застосовується) — процедура не проводилася через очевидні причини.</w:t>
      </w:r>
    </w:p>
    <w:p w14:paraId="30642D7A" w14:textId="77777777" w:rsidR="004111A3" w:rsidRDefault="00A909B0">
      <w:pPr>
        <w:pBdr>
          <w:top w:val="nil"/>
          <w:left w:val="nil"/>
          <w:bottom w:val="nil"/>
          <w:right w:val="nil"/>
          <w:between w:val="nil"/>
        </w:pBdr>
        <w:rPr>
          <w:color w:val="000000"/>
        </w:rPr>
      </w:pPr>
      <w:r>
        <w:rPr>
          <w:color w:val="000000"/>
        </w:rPr>
        <w:t>Основним довідковим документом для підтвердження стандартних висновків є Грантова угода та її пояснення в AGA.</w:t>
      </w:r>
    </w:p>
    <w:p w14:paraId="0E315F24" w14:textId="77777777" w:rsidR="004111A3" w:rsidRDefault="004111A3">
      <w:pPr>
        <w:sectPr w:rsidR="004111A3">
          <w:footerReference w:type="default" r:id="rId8"/>
          <w:pgSz w:w="11906" w:h="16838"/>
          <w:pgMar w:top="1843" w:right="1417" w:bottom="1417" w:left="1417" w:header="708" w:footer="708" w:gutter="0"/>
          <w:pgNumType w:start="1"/>
          <w:cols w:space="720"/>
        </w:sectPr>
      </w:pPr>
    </w:p>
    <w:p w14:paraId="171B95F0" w14:textId="77777777" w:rsidR="004111A3" w:rsidRDefault="00A909B0">
      <w:pPr>
        <w:jc w:val="center"/>
        <w:rPr>
          <w:b/>
        </w:rPr>
      </w:pPr>
      <w:bookmarkStart w:id="1" w:name="_heading=h.to35t783r4dk" w:colFirst="0" w:colLast="0"/>
      <w:bookmarkEnd w:id="1"/>
      <w:r>
        <w:rPr>
          <w:b/>
        </w:rPr>
        <w:lastRenderedPageBreak/>
        <w:t>КОНТРОЛЬНИЙ СПИСОК УЗГОДЖЕНИХ ПРОЦЕДУР CFS</w:t>
      </w:r>
    </w:p>
    <w:p w14:paraId="1853D1F6"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Загальні умови прийнятності та неприйнятні витрати</w:t>
      </w:r>
    </w:p>
    <w:tbl>
      <w:tblPr>
        <w:tblStyle w:val="affd"/>
        <w:tblpPr w:leftFromText="180" w:rightFromText="180" w:vertAnchor="text" w:tblpX="5" w:tblpY="1"/>
        <w:tblW w:w="14999"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095"/>
        <w:gridCol w:w="1047"/>
        <w:gridCol w:w="10452"/>
        <w:gridCol w:w="2405"/>
      </w:tblGrid>
      <w:tr w:rsidR="004111A3" w14:paraId="41ECB62B" w14:textId="77777777">
        <w:trPr>
          <w:trHeight w:val="402"/>
        </w:trPr>
        <w:tc>
          <w:tcPr>
            <w:tcW w:w="14999" w:type="dxa"/>
            <w:gridSpan w:val="4"/>
            <w:shd w:val="clear" w:color="auto" w:fill="EBF1DD"/>
          </w:tcPr>
          <w:p w14:paraId="62AA7F91" w14:textId="77777777" w:rsidR="004111A3" w:rsidRDefault="00A909B0">
            <w:pPr>
              <w:spacing w:before="120" w:after="120"/>
              <w:ind w:left="142"/>
              <w:jc w:val="left"/>
              <w:rPr>
                <w:b/>
                <w:color w:val="FF0000"/>
              </w:rPr>
            </w:pPr>
            <w:r>
              <w:rPr>
                <w:b/>
                <w:color w:val="FF0000"/>
              </w:rPr>
              <w:t xml:space="preserve">Погоджені процедури </w:t>
            </w:r>
            <w:proofErr w:type="spellStart"/>
            <w:r>
              <w:rPr>
                <w:b/>
                <w:color w:val="FF0000"/>
              </w:rPr>
              <w:t>cfs</w:t>
            </w:r>
            <w:proofErr w:type="spellEnd"/>
            <w:r>
              <w:rPr>
                <w:b/>
                <w:color w:val="FF0000"/>
              </w:rPr>
              <w:t xml:space="preserve"> - загальні умови прийнятності та неприйнятні витрати</w:t>
            </w:r>
          </w:p>
        </w:tc>
      </w:tr>
      <w:tr w:rsidR="004111A3" w14:paraId="64CE15E4" w14:textId="77777777">
        <w:trPr>
          <w:trHeight w:val="402"/>
        </w:trPr>
        <w:tc>
          <w:tcPr>
            <w:tcW w:w="1095" w:type="dxa"/>
            <w:shd w:val="clear" w:color="auto" w:fill="EBF1DD"/>
          </w:tcPr>
          <w:p w14:paraId="311556F4"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047" w:type="dxa"/>
            <w:shd w:val="clear" w:color="auto" w:fill="EBF1DD"/>
            <w:vAlign w:val="center"/>
          </w:tcPr>
          <w:p w14:paraId="1AB5A57C"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10452" w:type="dxa"/>
            <w:shd w:val="clear" w:color="auto" w:fill="EBF1DD"/>
            <w:tcMar>
              <w:top w:w="0" w:type="dxa"/>
              <w:left w:w="108" w:type="dxa"/>
              <w:bottom w:w="0" w:type="dxa"/>
              <w:right w:w="108" w:type="dxa"/>
            </w:tcMar>
            <w:vAlign w:val="center"/>
          </w:tcPr>
          <w:p w14:paraId="459A4D87" w14:textId="77777777" w:rsidR="004111A3" w:rsidRDefault="00A909B0">
            <w:pPr>
              <w:spacing w:before="120" w:after="120"/>
              <w:jc w:val="center"/>
              <w:rPr>
                <w:b/>
                <w:color w:val="000000"/>
                <w:sz w:val="20"/>
                <w:szCs w:val="20"/>
              </w:rPr>
            </w:pPr>
            <w:r>
              <w:rPr>
                <w:b/>
                <w:color w:val="000000"/>
                <w:sz w:val="20"/>
                <w:szCs w:val="20"/>
              </w:rPr>
              <w:t>Процедури</w:t>
            </w:r>
          </w:p>
        </w:tc>
        <w:tc>
          <w:tcPr>
            <w:tcW w:w="2405" w:type="dxa"/>
            <w:shd w:val="clear" w:color="auto" w:fill="EBF1DD"/>
            <w:tcMar>
              <w:top w:w="0" w:type="dxa"/>
              <w:left w:w="108" w:type="dxa"/>
              <w:bottom w:w="0" w:type="dxa"/>
              <w:right w:w="108" w:type="dxa"/>
            </w:tcMar>
            <w:vAlign w:val="center"/>
          </w:tcPr>
          <w:p w14:paraId="4B9D18D2"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r>
      <w:tr w:rsidR="004111A3" w14:paraId="311D6615" w14:textId="77777777">
        <w:trPr>
          <w:trHeight w:val="50"/>
        </w:trPr>
        <w:tc>
          <w:tcPr>
            <w:tcW w:w="1095" w:type="dxa"/>
            <w:shd w:val="clear" w:color="auto" w:fill="EBF1DD"/>
          </w:tcPr>
          <w:p w14:paraId="512AB15B" w14:textId="77777777" w:rsidR="004111A3" w:rsidRDefault="00A909B0">
            <w:pPr>
              <w:spacing w:before="120" w:after="120"/>
              <w:jc w:val="center"/>
              <w:rPr>
                <w:b/>
                <w:color w:val="000000"/>
              </w:rPr>
            </w:pPr>
            <w:r>
              <w:rPr>
                <w:b/>
                <w:color w:val="000000"/>
                <w:sz w:val="20"/>
                <w:szCs w:val="20"/>
              </w:rPr>
              <w:t>Стаття 6.1, 6.3</w:t>
            </w:r>
          </w:p>
        </w:tc>
        <w:tc>
          <w:tcPr>
            <w:tcW w:w="13904" w:type="dxa"/>
            <w:gridSpan w:val="3"/>
            <w:shd w:val="clear" w:color="auto" w:fill="EBF1DD"/>
            <w:vAlign w:val="center"/>
          </w:tcPr>
          <w:p w14:paraId="6DE2CE9E" w14:textId="77777777" w:rsidR="004111A3" w:rsidRDefault="00A909B0">
            <w:pPr>
              <w:spacing w:before="120" w:after="120"/>
              <w:ind w:left="136"/>
              <w:jc w:val="left"/>
              <w:rPr>
                <w:b/>
                <w:color w:val="000000"/>
              </w:rPr>
            </w:pPr>
            <w:r>
              <w:rPr>
                <w:b/>
                <w:color w:val="000000"/>
              </w:rPr>
              <w:t>ЗАГАЛЬНІ УМОВИ ПРИЙНЯТНОСТІ ТА НЕПРИЙНЯТНІ ВИТРАТИ</w:t>
            </w:r>
          </w:p>
        </w:tc>
      </w:tr>
      <w:tr w:rsidR="004111A3" w14:paraId="3F8E3BFE" w14:textId="77777777">
        <w:trPr>
          <w:trHeight w:val="5702"/>
        </w:trPr>
        <w:tc>
          <w:tcPr>
            <w:tcW w:w="1095" w:type="dxa"/>
            <w:shd w:val="clear" w:color="auto" w:fill="FFFFFF"/>
          </w:tcPr>
          <w:p w14:paraId="4FE1EFA5" w14:textId="77777777" w:rsidR="004111A3" w:rsidRDefault="00A909B0">
            <w:pPr>
              <w:spacing w:before="120" w:after="120"/>
              <w:jc w:val="center"/>
              <w:rPr>
                <w:b/>
                <w:color w:val="000000"/>
                <w:sz w:val="20"/>
                <w:szCs w:val="20"/>
              </w:rPr>
            </w:pPr>
            <w:bookmarkStart w:id="2" w:name="_heading=h.r3mqi8676ga6" w:colFirst="0" w:colLast="0"/>
            <w:bookmarkEnd w:id="2"/>
            <w:r>
              <w:rPr>
                <w:b/>
                <w:color w:val="000000"/>
                <w:sz w:val="20"/>
                <w:szCs w:val="20"/>
              </w:rPr>
              <w:t>Стаття 6.1 та 6.3</w:t>
            </w:r>
          </w:p>
        </w:tc>
        <w:tc>
          <w:tcPr>
            <w:tcW w:w="1047" w:type="dxa"/>
            <w:shd w:val="clear" w:color="auto" w:fill="FFFFFF"/>
          </w:tcPr>
          <w:p w14:paraId="29B379BD" w14:textId="77777777" w:rsidR="004111A3" w:rsidRDefault="00A909B0">
            <w:pPr>
              <w:spacing w:before="120" w:after="120"/>
              <w:jc w:val="center"/>
              <w:rPr>
                <w:b/>
                <w:color w:val="000000"/>
                <w:sz w:val="20"/>
                <w:szCs w:val="20"/>
              </w:rPr>
            </w:pPr>
            <w:r>
              <w:rPr>
                <w:b/>
                <w:color w:val="000000"/>
                <w:sz w:val="20"/>
                <w:szCs w:val="20"/>
              </w:rPr>
              <w:t>ЗАГАЛЬНІ УМОВИ ПРИЙНЯТНОСТІ ТА НЕПРИЙНЯТНІ ВИТРАТИ</w:t>
            </w:r>
          </w:p>
        </w:tc>
        <w:tc>
          <w:tcPr>
            <w:tcW w:w="10452" w:type="dxa"/>
            <w:shd w:val="clear" w:color="auto" w:fill="FFFFFF"/>
            <w:tcMar>
              <w:top w:w="0" w:type="dxa"/>
              <w:left w:w="108" w:type="dxa"/>
              <w:bottom w:w="0" w:type="dxa"/>
              <w:right w:w="108" w:type="dxa"/>
            </w:tcMar>
          </w:tcPr>
          <w:p w14:paraId="6552179B" w14:textId="77777777" w:rsidR="004111A3" w:rsidRDefault="00A909B0">
            <w:pPr>
              <w:spacing w:before="120" w:after="120"/>
              <w:rPr>
                <w:b/>
                <w:i/>
                <w:color w:val="000000"/>
                <w:sz w:val="20"/>
                <w:szCs w:val="20"/>
              </w:rPr>
            </w:pPr>
            <w:r>
              <w:rPr>
                <w:b/>
                <w:i/>
                <w:color w:val="000000"/>
                <w:sz w:val="20"/>
                <w:szCs w:val="20"/>
              </w:rPr>
              <w:t>Для всіх цінових категорій:</w:t>
            </w:r>
          </w:p>
          <w:p w14:paraId="19608E3F" w14:textId="77777777" w:rsidR="004111A3" w:rsidRDefault="00A909B0">
            <w:pPr>
              <w:spacing w:before="120" w:after="120"/>
              <w:rPr>
                <w:color w:val="000000"/>
                <w:sz w:val="20"/>
                <w:szCs w:val="20"/>
              </w:rPr>
            </w:pPr>
            <w:r>
              <w:rPr>
                <w:color w:val="000000"/>
                <w:sz w:val="20"/>
                <w:szCs w:val="20"/>
              </w:rPr>
              <w:t>Для вибірки кожної категорії витрат фахівець перевірив, чи відповідають витрати, задекларовані у фінансовій звітності, наступним загальним умовам прийнятності фактичних витрат:</w:t>
            </w:r>
          </w:p>
          <w:p w14:paraId="283DC0CF"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можуть бути ідентифіковані та перевірені, зокрема, відображені на рахунках учасника відповідно до стандартів бухгалтерського обліку, що застосовуються в країні, де зареєстрований учасник, та звичайної практики обліку витрат учасника (тобто послідовно використовуються учасником для всіх подібних видів діяльності, а не лише для діяльності ЄС, за винятком модифікацій, необхідних для дотримання правил, передбачених Грантовою угодою).</w:t>
            </w:r>
          </w:p>
          <w:p w14:paraId="641A8855"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фактично понесені учасником (підтвердження оплати, без повторного виставлення рахунків іншим особам).</w:t>
            </w:r>
          </w:p>
          <w:p w14:paraId="68ED1B7D" w14:textId="77777777" w:rsidR="004111A3" w:rsidRDefault="00A909B0">
            <w:pPr>
              <w:numPr>
                <w:ilvl w:val="0"/>
                <w:numId w:val="2"/>
              </w:numPr>
              <w:spacing w:before="120" w:after="120"/>
              <w:ind w:left="504" w:hanging="330"/>
              <w:jc w:val="left"/>
              <w:rPr>
                <w:rFonts w:ascii="Calibri" w:eastAsia="Calibri" w:hAnsi="Calibri" w:cs="Calibri"/>
                <w:color w:val="000000"/>
                <w:sz w:val="20"/>
                <w:szCs w:val="20"/>
              </w:rPr>
            </w:pPr>
            <w:r>
              <w:t xml:space="preserve">Витрати здійснюються протягом періоду, визначеного в ст. 4. 4 (за винятком витрат, пов'язаних з поданням остаточного періодичного звіту, які можуть бути понесені пізніше; див. ст. 21 ГУ та відповідний розділ </w:t>
            </w:r>
            <w:hyperlink r:id="rId9">
              <w:r>
                <w:rPr>
                  <w:i/>
                  <w:color w:val="0088CC"/>
                  <w:sz w:val="20"/>
                  <w:szCs w:val="20"/>
                  <w:u w:val="single"/>
                </w:rPr>
                <w:t xml:space="preserve">AGA — </w:t>
              </w:r>
              <w:proofErr w:type="spellStart"/>
              <w:r>
                <w:rPr>
                  <w:i/>
                  <w:color w:val="0088CC"/>
                  <w:sz w:val="20"/>
                  <w:szCs w:val="20"/>
                  <w:u w:val="single"/>
                </w:rPr>
                <w:t>Annotated</w:t>
              </w:r>
              <w:proofErr w:type="spellEnd"/>
              <w:r>
                <w:rPr>
                  <w:i/>
                  <w:color w:val="0088CC"/>
                  <w:sz w:val="20"/>
                  <w:szCs w:val="20"/>
                  <w:u w:val="single"/>
                </w:rPr>
                <w:t xml:space="preserve"> </w:t>
              </w:r>
              <w:proofErr w:type="spellStart"/>
              <w:r>
                <w:rPr>
                  <w:i/>
                  <w:color w:val="0088CC"/>
                  <w:sz w:val="20"/>
                  <w:szCs w:val="20"/>
                  <w:u w:val="single"/>
                </w:rPr>
                <w:t>Grant</w:t>
              </w:r>
              <w:proofErr w:type="spellEnd"/>
              <w:r>
                <w:rPr>
                  <w:i/>
                  <w:color w:val="0088CC"/>
                  <w:sz w:val="20"/>
                  <w:szCs w:val="20"/>
                  <w:u w:val="single"/>
                </w:rPr>
                <w:t xml:space="preserve"> </w:t>
              </w:r>
              <w:proofErr w:type="spellStart"/>
              <w:r>
                <w:rPr>
                  <w:i/>
                  <w:color w:val="0088CC"/>
                  <w:sz w:val="20"/>
                  <w:szCs w:val="20"/>
                  <w:u w:val="single"/>
                </w:rPr>
                <w:t>Agreement</w:t>
              </w:r>
              <w:proofErr w:type="spellEnd"/>
            </w:hyperlink>
            <w:r>
              <w:rPr>
                <w:i/>
                <w:color w:val="808080"/>
                <w:sz w:val="20"/>
                <w:szCs w:val="20"/>
              </w:rPr>
              <w:t>*</w:t>
            </w:r>
            <w:r>
              <w:rPr>
                <w:color w:val="000000"/>
                <w:sz w:val="20"/>
                <w:szCs w:val="20"/>
              </w:rPr>
              <w:t>).</w:t>
            </w:r>
          </w:p>
          <w:p w14:paraId="6B4478D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декларуються за відповідною бюджетною категорією, визначеною в ст. 6.2 та Додатку 2.</w:t>
            </w:r>
          </w:p>
          <w:p w14:paraId="3CDD395C"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понесені у зв'язку з реалізацією заходу (тобто прямий зв'язок між витратами та заходами, описаними в описі заходу (Додаток 1 ГУ), може бути встановлений в системі бухгалтерського обліку або в інших підтверджуючих документах).</w:t>
            </w:r>
          </w:p>
          <w:p w14:paraId="0DEE4322" w14:textId="77777777" w:rsidR="004111A3" w:rsidRDefault="00A909B0">
            <w:pPr>
              <w:numPr>
                <w:ilvl w:val="0"/>
                <w:numId w:val="2"/>
              </w:numPr>
              <w:spacing w:before="120" w:after="120"/>
              <w:ind w:left="504" w:hanging="330"/>
              <w:jc w:val="left"/>
              <w:rPr>
                <w:b/>
                <w:color w:val="000000"/>
                <w:sz w:val="20"/>
                <w:szCs w:val="20"/>
              </w:rPr>
            </w:pPr>
            <w:r>
              <w:rPr>
                <w:color w:val="000000"/>
                <w:sz w:val="20"/>
                <w:szCs w:val="20"/>
              </w:rPr>
              <w:t>Витрати відповідають чинному (національному) законодавству (наприклад, про податки, працю та соціальне забезпечення).</w:t>
            </w:r>
          </w:p>
          <w:p w14:paraId="0892387C" w14:textId="77777777" w:rsidR="004111A3" w:rsidRDefault="00A909B0">
            <w:pPr>
              <w:numPr>
                <w:ilvl w:val="0"/>
                <w:numId w:val="2"/>
              </w:numPr>
              <w:spacing w:before="120" w:after="120"/>
              <w:ind w:left="504" w:hanging="330"/>
              <w:jc w:val="left"/>
              <w:rPr>
                <w:b/>
                <w:color w:val="000000"/>
                <w:sz w:val="20"/>
                <w:szCs w:val="20"/>
              </w:rPr>
            </w:pPr>
            <w:r>
              <w:rPr>
                <w:color w:val="000000"/>
                <w:sz w:val="20"/>
                <w:szCs w:val="20"/>
              </w:rPr>
              <w:t>Витрати не містять жодних неприйнятних елементів (перелічених у ст. 6.3; наприклад, витрати, задекларовані в рамках інших грантів ЄС ("подвійне фінансування"), або надмірні чи необдумані / необачні витрати).</w:t>
            </w:r>
          </w:p>
          <w:p w14:paraId="6C8DAB4F" w14:textId="77777777" w:rsidR="004111A3" w:rsidRDefault="00A909B0">
            <w:pPr>
              <w:spacing w:before="120" w:after="120"/>
              <w:jc w:val="left"/>
              <w:rPr>
                <w:i/>
                <w:color w:val="000000"/>
                <w:sz w:val="20"/>
                <w:szCs w:val="20"/>
              </w:rPr>
            </w:pPr>
            <w:r>
              <w:rPr>
                <w:i/>
                <w:color w:val="000000"/>
                <w:sz w:val="20"/>
                <w:szCs w:val="20"/>
              </w:rPr>
              <w:lastRenderedPageBreak/>
              <w:t xml:space="preserve">"Надмірна" означає сплату значно (на 25%) більшої суми за товари, послуги або персонал, ніж ринкові ціни або звичайна практика учасника (що призводить до фінансових втрат, яких можна було б уникнути). </w:t>
            </w:r>
          </w:p>
          <w:p w14:paraId="11F1F3BB" w14:textId="77777777" w:rsidR="004111A3" w:rsidRDefault="00A909B0">
            <w:pPr>
              <w:spacing w:before="120" w:after="120"/>
              <w:jc w:val="left"/>
              <w:rPr>
                <w:i/>
                <w:color w:val="000000"/>
                <w:sz w:val="20"/>
                <w:szCs w:val="20"/>
              </w:rPr>
            </w:pPr>
            <w:r>
              <w:rPr>
                <w:i/>
                <w:color w:val="000000"/>
                <w:sz w:val="20"/>
                <w:szCs w:val="20"/>
              </w:rPr>
              <w:t>"Необачність" означає недбалість у виборі продуктів, послуг або персоналу (що призводить до фінансових втрат, яких можна було б уникнути (25%)).</w:t>
            </w:r>
          </w:p>
          <w:p w14:paraId="0A20147E" w14:textId="77777777" w:rsidR="004111A3" w:rsidRDefault="00A909B0">
            <w:pPr>
              <w:spacing w:before="120" w:after="120"/>
              <w:jc w:val="left"/>
              <w:rPr>
                <w:i/>
                <w:color w:val="000000"/>
                <w:sz w:val="20"/>
                <w:szCs w:val="20"/>
              </w:rPr>
            </w:pPr>
            <w:r>
              <w:rPr>
                <w:i/>
                <w:color w:val="000000"/>
                <w:sz w:val="20"/>
                <w:szCs w:val="20"/>
              </w:rPr>
              <w:t>"Подвійне фінансування" означає, що витрати або внески не можуть бути задекларовані в рамках інших грантів ЄС (або грантів, наданих державою-членом ЄС, країною, що не є членом ЄС, або іншим органом, що виконує бюджет ЄС), за винятком випадків, коли Грантова угода прямо передбачає синергію дій (ст. 6.3(b)).</w:t>
            </w:r>
          </w:p>
        </w:tc>
        <w:tc>
          <w:tcPr>
            <w:tcW w:w="2405" w:type="dxa"/>
            <w:shd w:val="clear" w:color="auto" w:fill="FFFFFF"/>
          </w:tcPr>
          <w:p w14:paraId="0BBEEB29" w14:textId="77777777" w:rsidR="004111A3" w:rsidRDefault="00A909B0">
            <w:pPr>
              <w:spacing w:before="120" w:after="120"/>
              <w:rPr>
                <w:i/>
                <w:color w:val="000000"/>
                <w:sz w:val="20"/>
                <w:szCs w:val="20"/>
              </w:rPr>
            </w:pPr>
            <w:r>
              <w:rPr>
                <w:i/>
                <w:color w:val="000000"/>
                <w:sz w:val="20"/>
                <w:szCs w:val="20"/>
              </w:rPr>
              <w:lastRenderedPageBreak/>
              <w:t>Стандартний висновок для цієї процедури міститься як перший висновок у кожній категорії витрат (див. нижче):</w:t>
            </w:r>
          </w:p>
          <w:p w14:paraId="36503F04" w14:textId="77777777" w:rsidR="004111A3" w:rsidRDefault="00A909B0">
            <w:pPr>
              <w:spacing w:before="120" w:after="120"/>
              <w:rPr>
                <w:b/>
                <w:i/>
                <w:color w:val="000000"/>
                <w:sz w:val="20"/>
                <w:szCs w:val="20"/>
              </w:rPr>
            </w:pPr>
            <w:r>
              <w:rPr>
                <w:i/>
                <w:color w:val="000000"/>
                <w:sz w:val="20"/>
                <w:szCs w:val="20"/>
              </w:rPr>
              <w:t>"Витрати були прийнятними (без неприйнятних компонентів), їх можна ідентифікувати та перевірити, вони були пов'язані з проектом і понесені учасником (підтвердження оплати, відсутність повторних рахунків-фактур іншим організаціям) протягом тривалості проекту відповідно до його звичайної практики обліку витрат".</w:t>
            </w:r>
          </w:p>
        </w:tc>
      </w:tr>
    </w:tbl>
    <w:p w14:paraId="4EA05A50" w14:textId="77777777" w:rsidR="004111A3" w:rsidRDefault="004111A3"/>
    <w:p w14:paraId="78B57D22"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Витрати на персонал (A.1-A.6)</w:t>
      </w:r>
    </w:p>
    <w:tbl>
      <w:tblPr>
        <w:tblStyle w:val="affe"/>
        <w:tblW w:w="15014"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091"/>
        <w:gridCol w:w="1051"/>
        <w:gridCol w:w="6528"/>
        <w:gridCol w:w="4953"/>
        <w:gridCol w:w="9"/>
        <w:gridCol w:w="1375"/>
        <w:gridCol w:w="7"/>
      </w:tblGrid>
      <w:tr w:rsidR="004111A3" w14:paraId="2899A47D" w14:textId="77777777">
        <w:trPr>
          <w:tblHeader/>
        </w:trPr>
        <w:tc>
          <w:tcPr>
            <w:tcW w:w="15014" w:type="dxa"/>
            <w:gridSpan w:val="7"/>
            <w:shd w:val="clear" w:color="auto" w:fill="EBF1DD"/>
          </w:tcPr>
          <w:p w14:paraId="658E8BE4" w14:textId="77777777" w:rsidR="004111A3" w:rsidRDefault="00A909B0">
            <w:pPr>
              <w:spacing w:before="120" w:after="120"/>
              <w:ind w:left="142"/>
              <w:jc w:val="left"/>
              <w:rPr>
                <w:b/>
                <w:color w:val="FF0000"/>
                <w:sz w:val="20"/>
                <w:szCs w:val="20"/>
              </w:rPr>
            </w:pPr>
            <w:r>
              <w:rPr>
                <w:b/>
                <w:color w:val="FF0000"/>
                <w:sz w:val="20"/>
                <w:szCs w:val="20"/>
              </w:rPr>
              <w:t>ПОГОДЖЕНІ CFS ПРОЦЕДУРИ - Витрати на персонал (A.1-A.6)</w:t>
            </w:r>
          </w:p>
        </w:tc>
      </w:tr>
      <w:tr w:rsidR="004111A3" w14:paraId="337B9BD4" w14:textId="77777777">
        <w:trPr>
          <w:gridAfter w:val="1"/>
          <w:wAfter w:w="7" w:type="dxa"/>
          <w:tblHeader/>
        </w:trPr>
        <w:tc>
          <w:tcPr>
            <w:tcW w:w="1091" w:type="dxa"/>
            <w:shd w:val="clear" w:color="auto" w:fill="EBF1DD"/>
          </w:tcPr>
          <w:p w14:paraId="29481026"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051" w:type="dxa"/>
            <w:shd w:val="clear" w:color="auto" w:fill="EBF1DD"/>
            <w:vAlign w:val="center"/>
          </w:tcPr>
          <w:p w14:paraId="4CA0593F"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528" w:type="dxa"/>
            <w:shd w:val="clear" w:color="auto" w:fill="EBF1DD"/>
            <w:tcMar>
              <w:top w:w="0" w:type="dxa"/>
              <w:left w:w="108" w:type="dxa"/>
              <w:bottom w:w="0" w:type="dxa"/>
              <w:right w:w="108" w:type="dxa"/>
            </w:tcMar>
            <w:vAlign w:val="center"/>
          </w:tcPr>
          <w:p w14:paraId="3E8C9EC1" w14:textId="77777777" w:rsidR="004111A3" w:rsidRDefault="00A909B0">
            <w:pPr>
              <w:spacing w:before="120" w:after="120"/>
              <w:jc w:val="center"/>
              <w:rPr>
                <w:b/>
                <w:color w:val="000000"/>
                <w:sz w:val="20"/>
                <w:szCs w:val="20"/>
              </w:rPr>
            </w:pPr>
            <w:r>
              <w:rPr>
                <w:b/>
                <w:color w:val="000000"/>
                <w:sz w:val="20"/>
                <w:szCs w:val="20"/>
              </w:rPr>
              <w:t>Процедури</w:t>
            </w:r>
          </w:p>
        </w:tc>
        <w:tc>
          <w:tcPr>
            <w:tcW w:w="4962" w:type="dxa"/>
            <w:gridSpan w:val="2"/>
            <w:shd w:val="clear" w:color="auto" w:fill="EBF1DD"/>
            <w:vAlign w:val="center"/>
          </w:tcPr>
          <w:p w14:paraId="33B315ED"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375" w:type="dxa"/>
            <w:shd w:val="clear" w:color="auto" w:fill="EBF1DD"/>
            <w:vAlign w:val="center"/>
          </w:tcPr>
          <w:p w14:paraId="785CE755" w14:textId="77777777" w:rsidR="004111A3" w:rsidRDefault="00A909B0">
            <w:pPr>
              <w:spacing w:before="120" w:after="120"/>
              <w:jc w:val="center"/>
              <w:rPr>
                <w:b/>
                <w:color w:val="000000"/>
                <w:sz w:val="20"/>
                <w:szCs w:val="20"/>
              </w:rPr>
            </w:pPr>
            <w:r>
              <w:rPr>
                <w:b/>
                <w:color w:val="000000"/>
                <w:sz w:val="20"/>
                <w:szCs w:val="20"/>
              </w:rPr>
              <w:t>Результат</w:t>
            </w:r>
          </w:p>
          <w:p w14:paraId="1F239799" w14:textId="77777777" w:rsidR="004111A3" w:rsidRDefault="00A909B0">
            <w:pPr>
              <w:spacing w:before="120" w:after="120"/>
              <w:jc w:val="center"/>
              <w:rPr>
                <w:b/>
                <w:color w:val="000000"/>
                <w:sz w:val="20"/>
                <w:szCs w:val="20"/>
              </w:rPr>
            </w:pPr>
            <w:r>
              <w:rPr>
                <w:b/>
                <w:color w:val="000000"/>
                <w:sz w:val="20"/>
                <w:szCs w:val="20"/>
              </w:rPr>
              <w:t>(ТАК / НІ / Н.З.)</w:t>
            </w:r>
          </w:p>
        </w:tc>
      </w:tr>
      <w:tr w:rsidR="004111A3" w14:paraId="42D35466" w14:textId="77777777">
        <w:trPr>
          <w:gridAfter w:val="1"/>
          <w:wAfter w:w="7" w:type="dxa"/>
        </w:trPr>
        <w:tc>
          <w:tcPr>
            <w:tcW w:w="1091" w:type="dxa"/>
            <w:shd w:val="clear" w:color="auto" w:fill="EBF1DD"/>
          </w:tcPr>
          <w:p w14:paraId="2815E64A" w14:textId="77777777" w:rsidR="004111A3" w:rsidRDefault="00A909B0">
            <w:pPr>
              <w:spacing w:before="120" w:after="120"/>
              <w:jc w:val="center"/>
              <w:rPr>
                <w:b/>
                <w:color w:val="000000"/>
                <w:sz w:val="20"/>
                <w:szCs w:val="20"/>
              </w:rPr>
            </w:pPr>
            <w:r>
              <w:rPr>
                <w:b/>
                <w:color w:val="000000"/>
                <w:sz w:val="20"/>
                <w:szCs w:val="20"/>
              </w:rPr>
              <w:t>Стаття 6.2.A</w:t>
            </w:r>
          </w:p>
        </w:tc>
        <w:tc>
          <w:tcPr>
            <w:tcW w:w="1051" w:type="dxa"/>
            <w:shd w:val="clear" w:color="auto" w:fill="EBF1DD"/>
            <w:vAlign w:val="center"/>
          </w:tcPr>
          <w:p w14:paraId="6B30694A" w14:textId="77777777" w:rsidR="004111A3" w:rsidRDefault="00A909B0">
            <w:pPr>
              <w:spacing w:before="120" w:after="120"/>
              <w:jc w:val="center"/>
              <w:rPr>
                <w:b/>
                <w:color w:val="000000"/>
                <w:sz w:val="20"/>
                <w:szCs w:val="20"/>
              </w:rPr>
            </w:pPr>
            <w:r>
              <w:rPr>
                <w:b/>
                <w:color w:val="000000"/>
                <w:sz w:val="20"/>
                <w:szCs w:val="20"/>
              </w:rPr>
              <w:t>A.</w:t>
            </w:r>
          </w:p>
        </w:tc>
        <w:tc>
          <w:tcPr>
            <w:tcW w:w="12865" w:type="dxa"/>
            <w:gridSpan w:val="4"/>
            <w:shd w:val="clear" w:color="auto" w:fill="EBF1DD"/>
            <w:tcMar>
              <w:top w:w="0" w:type="dxa"/>
              <w:left w:w="108" w:type="dxa"/>
              <w:bottom w:w="0" w:type="dxa"/>
              <w:right w:w="108" w:type="dxa"/>
            </w:tcMar>
            <w:vAlign w:val="center"/>
          </w:tcPr>
          <w:p w14:paraId="3B4435DE" w14:textId="77777777" w:rsidR="004111A3" w:rsidRDefault="00A909B0">
            <w:pPr>
              <w:spacing w:before="120" w:after="120"/>
              <w:jc w:val="left"/>
              <w:rPr>
                <w:b/>
                <w:color w:val="000000"/>
                <w:sz w:val="20"/>
                <w:szCs w:val="20"/>
              </w:rPr>
            </w:pPr>
            <w:r>
              <w:rPr>
                <w:b/>
                <w:color w:val="000000"/>
                <w:sz w:val="20"/>
                <w:szCs w:val="20"/>
              </w:rPr>
              <w:t>ВИТРАТИ НА ПЕРСОНАЛ</w:t>
            </w:r>
          </w:p>
        </w:tc>
      </w:tr>
      <w:tr w:rsidR="004111A3" w14:paraId="5C7506EE" w14:textId="77777777">
        <w:trPr>
          <w:gridAfter w:val="1"/>
          <w:wAfter w:w="7" w:type="dxa"/>
          <w:tblHeader/>
        </w:trPr>
        <w:tc>
          <w:tcPr>
            <w:tcW w:w="1091" w:type="dxa"/>
          </w:tcPr>
          <w:p w14:paraId="4059A339" w14:textId="77777777" w:rsidR="004111A3" w:rsidRDefault="00A909B0">
            <w:pPr>
              <w:spacing w:before="120" w:after="120"/>
              <w:jc w:val="center"/>
              <w:rPr>
                <w:b/>
                <w:color w:val="000000"/>
                <w:sz w:val="20"/>
                <w:szCs w:val="20"/>
              </w:rPr>
            </w:pPr>
            <w:r>
              <w:rPr>
                <w:b/>
                <w:color w:val="000000"/>
                <w:sz w:val="20"/>
                <w:szCs w:val="20"/>
              </w:rPr>
              <w:t>Стаття 6.2.A</w:t>
            </w:r>
          </w:p>
        </w:tc>
        <w:tc>
          <w:tcPr>
            <w:tcW w:w="1051" w:type="dxa"/>
          </w:tcPr>
          <w:p w14:paraId="49D79733" w14:textId="77777777" w:rsidR="004111A3" w:rsidRDefault="00A909B0">
            <w:pPr>
              <w:spacing w:before="120" w:after="120"/>
              <w:jc w:val="center"/>
              <w:rPr>
                <w:b/>
                <w:color w:val="000000"/>
                <w:sz w:val="20"/>
                <w:szCs w:val="20"/>
              </w:rPr>
            </w:pPr>
            <w:r>
              <w:rPr>
                <w:b/>
                <w:color w:val="000000"/>
                <w:sz w:val="20"/>
                <w:szCs w:val="20"/>
              </w:rPr>
              <w:t xml:space="preserve">A. </w:t>
            </w:r>
          </w:p>
          <w:p w14:paraId="6ED06308" w14:textId="77777777" w:rsidR="004111A3" w:rsidRDefault="00A909B0">
            <w:pPr>
              <w:spacing w:before="120" w:after="120"/>
              <w:jc w:val="center"/>
              <w:rPr>
                <w:b/>
                <w:color w:val="000000"/>
                <w:sz w:val="20"/>
                <w:szCs w:val="20"/>
              </w:rPr>
            </w:pPr>
            <w:r>
              <w:rPr>
                <w:b/>
                <w:color w:val="000000"/>
                <w:sz w:val="20"/>
                <w:szCs w:val="20"/>
              </w:rPr>
              <w:lastRenderedPageBreak/>
              <w:t>ВИТРАТИ НА ПЕРСОНАЛ</w:t>
            </w:r>
          </w:p>
        </w:tc>
        <w:tc>
          <w:tcPr>
            <w:tcW w:w="6528" w:type="dxa"/>
            <w:shd w:val="clear" w:color="auto" w:fill="auto"/>
            <w:tcMar>
              <w:top w:w="0" w:type="dxa"/>
              <w:left w:w="108" w:type="dxa"/>
              <w:bottom w:w="0" w:type="dxa"/>
              <w:right w:w="108" w:type="dxa"/>
            </w:tcMar>
          </w:tcPr>
          <w:p w14:paraId="4B740C23" w14:textId="77777777" w:rsidR="004111A3" w:rsidRDefault="00A909B0">
            <w:pPr>
              <w:spacing w:before="120" w:after="120"/>
              <w:jc w:val="left"/>
              <w:rPr>
                <w:b/>
                <w:color w:val="000000"/>
                <w:sz w:val="20"/>
                <w:szCs w:val="20"/>
              </w:rPr>
            </w:pPr>
            <w:r>
              <w:rPr>
                <w:b/>
                <w:color w:val="000000"/>
                <w:sz w:val="20"/>
                <w:szCs w:val="20"/>
              </w:rPr>
              <w:lastRenderedPageBreak/>
              <w:t xml:space="preserve">Спеціаліст формує вибірку для проведення процедур за цією категорією витрат. Вибірка повинна бути відібрана випадковим чином. Вона має охоплювати 10% всіх осіб, для яких були </w:t>
            </w:r>
            <w:r>
              <w:rPr>
                <w:b/>
                <w:color w:val="000000"/>
                <w:sz w:val="20"/>
                <w:szCs w:val="20"/>
              </w:rPr>
              <w:lastRenderedPageBreak/>
              <w:t>задекларовані витрати, з мінімальним обсягом вибірки в 10 осіб (або всіх осіб, якщо над дією працювало менше 10 осіб).</w:t>
            </w:r>
          </w:p>
          <w:p w14:paraId="3E0279A6" w14:textId="77777777" w:rsidR="004111A3" w:rsidRDefault="00A909B0">
            <w:pPr>
              <w:spacing w:before="120" w:after="120"/>
              <w:jc w:val="left"/>
              <w:rPr>
                <w:color w:val="000000"/>
                <w:sz w:val="20"/>
                <w:szCs w:val="20"/>
              </w:rPr>
            </w:pPr>
            <w:r>
              <w:rPr>
                <w:color w:val="000000"/>
                <w:sz w:val="20"/>
                <w:szCs w:val="20"/>
              </w:rPr>
              <w:t>Спеціаліст зробив вибірку</w:t>
            </w:r>
            <w:r>
              <w:rPr>
                <w:color w:val="000000"/>
                <w:sz w:val="20"/>
                <w:szCs w:val="20"/>
                <w:highlight w:val="lightGray"/>
              </w:rPr>
              <w:t xml:space="preserve"> _____</w:t>
            </w:r>
            <w:r>
              <w:rPr>
                <w:color w:val="000000"/>
                <w:sz w:val="20"/>
                <w:szCs w:val="20"/>
              </w:rPr>
              <w:t xml:space="preserve"> осіб із загальної кількості </w:t>
            </w:r>
            <w:r>
              <w:rPr>
                <w:color w:val="000000"/>
                <w:sz w:val="20"/>
                <w:szCs w:val="20"/>
                <w:highlight w:val="lightGray"/>
              </w:rPr>
              <w:t>_____.</w:t>
            </w:r>
          </w:p>
        </w:tc>
        <w:tc>
          <w:tcPr>
            <w:tcW w:w="6337" w:type="dxa"/>
            <w:gridSpan w:val="3"/>
            <w:shd w:val="clear" w:color="auto" w:fill="F2F2F2"/>
            <w:tcMar>
              <w:top w:w="0" w:type="dxa"/>
              <w:left w:w="108" w:type="dxa"/>
              <w:bottom w:w="0" w:type="dxa"/>
              <w:right w:w="108" w:type="dxa"/>
            </w:tcMar>
          </w:tcPr>
          <w:p w14:paraId="0001B478" w14:textId="77777777" w:rsidR="004111A3" w:rsidRDefault="004111A3">
            <w:pPr>
              <w:spacing w:before="120" w:after="120"/>
              <w:rPr>
                <w:color w:val="000000"/>
                <w:sz w:val="20"/>
                <w:szCs w:val="20"/>
              </w:rPr>
            </w:pPr>
          </w:p>
        </w:tc>
      </w:tr>
      <w:tr w:rsidR="004111A3" w14:paraId="50EF5A63" w14:textId="77777777">
        <w:trPr>
          <w:gridAfter w:val="1"/>
          <w:wAfter w:w="7" w:type="dxa"/>
        </w:trPr>
        <w:tc>
          <w:tcPr>
            <w:tcW w:w="1091" w:type="dxa"/>
            <w:shd w:val="clear" w:color="auto" w:fill="EBF1DD"/>
          </w:tcPr>
          <w:p w14:paraId="1097C02B" w14:textId="77777777" w:rsidR="004111A3" w:rsidRDefault="00A909B0">
            <w:pPr>
              <w:spacing w:before="120" w:after="120"/>
              <w:jc w:val="center"/>
              <w:rPr>
                <w:b/>
                <w:color w:val="000000"/>
                <w:sz w:val="20"/>
                <w:szCs w:val="20"/>
              </w:rPr>
            </w:pPr>
            <w:r>
              <w:rPr>
                <w:b/>
                <w:color w:val="000000"/>
                <w:sz w:val="20"/>
                <w:szCs w:val="20"/>
              </w:rPr>
              <w:t>Стаття 6.2.A.1</w:t>
            </w:r>
          </w:p>
        </w:tc>
        <w:tc>
          <w:tcPr>
            <w:tcW w:w="1051" w:type="dxa"/>
            <w:shd w:val="clear" w:color="auto" w:fill="EBF1DD"/>
            <w:vAlign w:val="center"/>
          </w:tcPr>
          <w:p w14:paraId="28B3DB95" w14:textId="77777777" w:rsidR="004111A3" w:rsidRDefault="00A909B0">
            <w:pPr>
              <w:spacing w:before="120" w:after="120"/>
              <w:jc w:val="center"/>
              <w:rPr>
                <w:b/>
                <w:color w:val="000000"/>
                <w:sz w:val="20"/>
                <w:szCs w:val="20"/>
              </w:rPr>
            </w:pPr>
            <w:r>
              <w:rPr>
                <w:b/>
                <w:color w:val="000000"/>
                <w:sz w:val="20"/>
                <w:szCs w:val="20"/>
              </w:rPr>
              <w:t>A.1</w:t>
            </w:r>
          </w:p>
        </w:tc>
        <w:tc>
          <w:tcPr>
            <w:tcW w:w="12865" w:type="dxa"/>
            <w:gridSpan w:val="4"/>
            <w:shd w:val="clear" w:color="auto" w:fill="EBF1DD"/>
            <w:tcMar>
              <w:top w:w="0" w:type="dxa"/>
              <w:left w:w="108" w:type="dxa"/>
              <w:bottom w:w="0" w:type="dxa"/>
              <w:right w:w="108" w:type="dxa"/>
            </w:tcMar>
            <w:vAlign w:val="center"/>
          </w:tcPr>
          <w:p w14:paraId="16FBB22E" w14:textId="77777777" w:rsidR="004111A3" w:rsidRDefault="00A909B0">
            <w:pPr>
              <w:spacing w:before="120" w:after="120"/>
              <w:jc w:val="left"/>
              <w:rPr>
                <w:b/>
                <w:color w:val="000000"/>
                <w:sz w:val="20"/>
                <w:szCs w:val="20"/>
              </w:rPr>
            </w:pPr>
            <w:r>
              <w:rPr>
                <w:b/>
                <w:color w:val="000000"/>
                <w:sz w:val="20"/>
                <w:szCs w:val="20"/>
              </w:rPr>
              <w:t>ПРАЦІВНИКИ АБО ЇХ ЕКВІВАЛЕНТ</w:t>
            </w:r>
          </w:p>
        </w:tc>
      </w:tr>
      <w:tr w:rsidR="004111A3" w14:paraId="38551816" w14:textId="77777777">
        <w:trPr>
          <w:gridAfter w:val="1"/>
          <w:wAfter w:w="7" w:type="dxa"/>
        </w:trPr>
        <w:tc>
          <w:tcPr>
            <w:tcW w:w="1091" w:type="dxa"/>
            <w:vMerge w:val="restart"/>
          </w:tcPr>
          <w:p w14:paraId="096B7357" w14:textId="77777777" w:rsidR="004111A3" w:rsidRDefault="00A909B0">
            <w:pPr>
              <w:spacing w:before="120" w:after="120"/>
              <w:jc w:val="center"/>
              <w:rPr>
                <w:b/>
                <w:color w:val="000000"/>
                <w:sz w:val="20"/>
                <w:szCs w:val="20"/>
              </w:rPr>
            </w:pPr>
            <w:proofErr w:type="spellStart"/>
            <w:r>
              <w:rPr>
                <w:b/>
                <w:color w:val="000000"/>
                <w:sz w:val="20"/>
                <w:szCs w:val="20"/>
              </w:rPr>
              <w:t>Article</w:t>
            </w:r>
            <w:proofErr w:type="spellEnd"/>
            <w:r>
              <w:rPr>
                <w:b/>
                <w:color w:val="000000"/>
                <w:sz w:val="20"/>
                <w:szCs w:val="20"/>
              </w:rPr>
              <w:t xml:space="preserve"> 6.2.A.1</w:t>
            </w:r>
          </w:p>
        </w:tc>
        <w:tc>
          <w:tcPr>
            <w:tcW w:w="1051" w:type="dxa"/>
            <w:vMerge w:val="restart"/>
          </w:tcPr>
          <w:p w14:paraId="7A348F3E" w14:textId="77777777" w:rsidR="004111A3" w:rsidRDefault="00A909B0">
            <w:pPr>
              <w:spacing w:before="120" w:after="120"/>
              <w:jc w:val="center"/>
              <w:rPr>
                <w:b/>
                <w:color w:val="000000"/>
                <w:sz w:val="20"/>
                <w:szCs w:val="20"/>
              </w:rPr>
            </w:pPr>
            <w:r>
              <w:rPr>
                <w:b/>
                <w:color w:val="000000"/>
                <w:sz w:val="20"/>
                <w:szCs w:val="20"/>
              </w:rPr>
              <w:t xml:space="preserve">A.1 </w:t>
            </w:r>
          </w:p>
          <w:p w14:paraId="4D683808" w14:textId="77777777" w:rsidR="004111A3" w:rsidRDefault="00A909B0">
            <w:pPr>
              <w:spacing w:before="120" w:after="120"/>
              <w:jc w:val="center"/>
              <w:rPr>
                <w:b/>
                <w:color w:val="000000"/>
                <w:sz w:val="20"/>
                <w:szCs w:val="20"/>
              </w:rPr>
            </w:pPr>
            <w:r>
              <w:rPr>
                <w:b/>
                <w:color w:val="000000"/>
                <w:sz w:val="20"/>
                <w:szCs w:val="20"/>
              </w:rPr>
              <w:t>ПРАЦІВНИКИ АБО ЇХ ЕКВІВАЛЕНТ</w:t>
            </w:r>
          </w:p>
          <w:p w14:paraId="323A6426" w14:textId="77777777" w:rsidR="004111A3" w:rsidRDefault="00A909B0">
            <w:pPr>
              <w:spacing w:before="120" w:after="120"/>
              <w:jc w:val="center"/>
              <w:rPr>
                <w:color w:val="5F497A"/>
                <w:sz w:val="20"/>
                <w:szCs w:val="20"/>
              </w:rPr>
            </w:pPr>
            <w:r>
              <w:rPr>
                <w:color w:val="5F497A"/>
                <w:sz w:val="20"/>
                <w:szCs w:val="20"/>
              </w:rPr>
              <w:t>(всі програми, крім SMP ESS, CUST/FISC)</w:t>
            </w:r>
          </w:p>
          <w:p w14:paraId="0520C619" w14:textId="77777777" w:rsidR="004111A3" w:rsidRDefault="00A909B0">
            <w:pPr>
              <w:spacing w:before="120" w:after="120"/>
              <w:jc w:val="center"/>
              <w:rPr>
                <w:b/>
                <w:color w:val="000000"/>
                <w:sz w:val="20"/>
                <w:szCs w:val="20"/>
              </w:rPr>
            </w:pPr>
            <w:r>
              <w:rPr>
                <w:b/>
                <w:color w:val="000000"/>
                <w:sz w:val="20"/>
                <w:szCs w:val="20"/>
              </w:rPr>
              <w:t>A.1 Якщо стандартно (випадок 1A):</w:t>
            </w:r>
          </w:p>
        </w:tc>
        <w:tc>
          <w:tcPr>
            <w:tcW w:w="6528" w:type="dxa"/>
            <w:vMerge w:val="restart"/>
            <w:shd w:val="clear" w:color="auto" w:fill="auto"/>
            <w:tcMar>
              <w:top w:w="0" w:type="dxa"/>
              <w:left w:w="108" w:type="dxa"/>
              <w:bottom w:w="0" w:type="dxa"/>
              <w:right w:w="108" w:type="dxa"/>
            </w:tcMar>
          </w:tcPr>
          <w:p w14:paraId="555C5AB6" w14:textId="77777777" w:rsidR="004111A3" w:rsidRDefault="00A909B0">
            <w:pPr>
              <w:spacing w:before="120" w:after="120"/>
              <w:rPr>
                <w:b/>
                <w:i/>
                <w:color w:val="000000"/>
                <w:sz w:val="20"/>
                <w:szCs w:val="20"/>
              </w:rPr>
            </w:pPr>
            <w:r>
              <w:rPr>
                <w:b/>
                <w:i/>
                <w:color w:val="000000"/>
                <w:sz w:val="20"/>
                <w:szCs w:val="20"/>
              </w:rPr>
              <w:t>Для осіб, включених до вибірки, які працюють за трудовим договором або еквівалентним документом про призначення:</w:t>
            </w:r>
          </w:p>
          <w:p w14:paraId="5310E9B5" w14:textId="77777777" w:rsidR="004111A3" w:rsidRDefault="00A909B0">
            <w:pPr>
              <w:spacing w:before="120" w:after="120"/>
              <w:rPr>
                <w:color w:val="000000"/>
                <w:sz w:val="20"/>
                <w:szCs w:val="20"/>
              </w:rPr>
            </w:pPr>
            <w:r>
              <w:rPr>
                <w:color w:val="000000"/>
                <w:sz w:val="20"/>
                <w:szCs w:val="20"/>
              </w:rPr>
              <w:t>Спеціаліст здійснив загальну перевірку прийнятності та неприйнятності витрат (див. вище).</w:t>
            </w:r>
          </w:p>
          <w:p w14:paraId="4AE2ACAE" w14:textId="77777777" w:rsidR="004111A3" w:rsidRDefault="00A909B0">
            <w:pPr>
              <w:spacing w:before="120" w:after="120"/>
              <w:rPr>
                <w:color w:val="000000"/>
                <w:sz w:val="20"/>
                <w:szCs w:val="20"/>
              </w:rPr>
            </w:pPr>
            <w:r>
              <w:rPr>
                <w:color w:val="000000"/>
                <w:sz w:val="20"/>
                <w:szCs w:val="20"/>
              </w:rPr>
              <w:t xml:space="preserve">Фактичні витрати на персонал (або еквівалент) повинні бути розраховані відповідно до формули, викладеної у статті 6.2.A.1 ГУ та відповідному розділі </w:t>
            </w:r>
            <w:hyperlink r:id="rId10">
              <w:r>
                <w:rPr>
                  <w:color w:val="0088CC"/>
                  <w:sz w:val="20"/>
                  <w:szCs w:val="20"/>
                  <w:u w:val="single"/>
                </w:rPr>
                <w:t xml:space="preserve">AGA — </w:t>
              </w:r>
              <w:proofErr w:type="spellStart"/>
              <w:r>
                <w:rPr>
                  <w:color w:val="0088CC"/>
                  <w:sz w:val="20"/>
                  <w:szCs w:val="20"/>
                  <w:u w:val="single"/>
                </w:rPr>
                <w:t>Annotated</w:t>
              </w:r>
              <w:proofErr w:type="spellEnd"/>
              <w:r>
                <w:rPr>
                  <w:color w:val="0088CC"/>
                  <w:sz w:val="20"/>
                  <w:szCs w:val="20"/>
                  <w:u w:val="single"/>
                </w:rPr>
                <w:t xml:space="preserve"> </w:t>
              </w:r>
              <w:proofErr w:type="spellStart"/>
              <w:r>
                <w:rPr>
                  <w:color w:val="0088CC"/>
                  <w:sz w:val="20"/>
                  <w:szCs w:val="20"/>
                  <w:u w:val="single"/>
                </w:rPr>
                <w:t>Grant</w:t>
              </w:r>
              <w:proofErr w:type="spellEnd"/>
              <w:r>
                <w:rPr>
                  <w:color w:val="0088CC"/>
                  <w:sz w:val="20"/>
                  <w:szCs w:val="20"/>
                  <w:u w:val="single"/>
                </w:rPr>
                <w:t xml:space="preserve"> </w:t>
              </w:r>
              <w:proofErr w:type="spellStart"/>
              <w:r>
                <w:rPr>
                  <w:color w:val="0088CC"/>
                  <w:sz w:val="20"/>
                  <w:szCs w:val="20"/>
                  <w:u w:val="single"/>
                </w:rPr>
                <w:t>Agreement</w:t>
              </w:r>
              <w:proofErr w:type="spellEnd"/>
            </w:hyperlink>
            <w:r>
              <w:rPr>
                <w:color w:val="808080"/>
                <w:sz w:val="20"/>
                <w:szCs w:val="20"/>
              </w:rPr>
              <w:t>*</w:t>
            </w:r>
            <w:r>
              <w:rPr>
                <w:color w:val="000000"/>
                <w:sz w:val="20"/>
                <w:szCs w:val="20"/>
              </w:rPr>
              <w:t>.</w:t>
            </w:r>
          </w:p>
          <w:p w14:paraId="75076693" w14:textId="77777777" w:rsidR="004111A3" w:rsidRDefault="00A909B0">
            <w:pPr>
              <w:spacing w:before="120" w:after="120"/>
              <w:rPr>
                <w:color w:val="000000"/>
                <w:sz w:val="20"/>
                <w:szCs w:val="20"/>
              </w:rPr>
            </w:pPr>
            <w:r>
              <w:rPr>
                <w:color w:val="000000"/>
                <w:sz w:val="20"/>
                <w:szCs w:val="20"/>
              </w:rPr>
              <w:t>Завдання фахівця-практика полягає в тому, щоб перевірити, чи елементи розрахунку фактичних витрат на персонал, задекларовані органу, що надає грант, є правильними і відповідають правилам, а також чи правильно застосована формула. Елементи, що підлягають перевірці, є наступними:</w:t>
            </w:r>
          </w:p>
          <w:p w14:paraId="37F70DAA" w14:textId="77777777" w:rsidR="004111A3" w:rsidRDefault="00A909B0">
            <w:pPr>
              <w:numPr>
                <w:ilvl w:val="0"/>
                <w:numId w:val="2"/>
              </w:numPr>
              <w:spacing w:before="120" w:after="120"/>
              <w:ind w:left="504" w:hanging="330"/>
              <w:rPr>
                <w:color w:val="000000"/>
                <w:sz w:val="20"/>
                <w:szCs w:val="20"/>
              </w:rPr>
            </w:pPr>
            <w:r>
              <w:rPr>
                <w:color w:val="000000"/>
                <w:sz w:val="20"/>
                <w:szCs w:val="20"/>
              </w:rPr>
              <w:t>фактичні понесені витрати на персонал, включаючи всі прийнятні компоненти та виключаючи всі неприйнятні компоненти</w:t>
            </w:r>
          </w:p>
          <w:p w14:paraId="1BD3FAC4" w14:textId="77777777" w:rsidR="004111A3" w:rsidRDefault="00A909B0">
            <w:pPr>
              <w:numPr>
                <w:ilvl w:val="0"/>
                <w:numId w:val="2"/>
              </w:numPr>
              <w:spacing w:before="120" w:after="120"/>
              <w:ind w:left="504" w:hanging="330"/>
              <w:rPr>
                <w:color w:val="000000"/>
                <w:sz w:val="20"/>
                <w:szCs w:val="20"/>
              </w:rPr>
            </w:pPr>
            <w:r>
              <w:rPr>
                <w:color w:val="000000"/>
                <w:sz w:val="20"/>
                <w:szCs w:val="20"/>
              </w:rPr>
              <w:t>кількість місяців зайнятості у звітному періоді, що використовується для розрахунку максимального еквівалента задекларованих днів</w:t>
            </w:r>
          </w:p>
          <w:p w14:paraId="2E47FA09" w14:textId="77777777" w:rsidR="004111A3" w:rsidRDefault="00A909B0">
            <w:pPr>
              <w:numPr>
                <w:ilvl w:val="0"/>
                <w:numId w:val="2"/>
              </w:numPr>
              <w:spacing w:before="120" w:after="120"/>
              <w:ind w:left="504" w:hanging="330"/>
              <w:rPr>
                <w:color w:val="000000"/>
                <w:sz w:val="20"/>
                <w:szCs w:val="20"/>
              </w:rPr>
            </w:pPr>
            <w:r>
              <w:rPr>
                <w:color w:val="000000"/>
                <w:sz w:val="20"/>
                <w:szCs w:val="20"/>
              </w:rPr>
              <w:t>коефіцієнт робочого часу, який використовується для розрахунку максимальних еквівалентів декларованих днів</w:t>
            </w:r>
          </w:p>
          <w:p w14:paraId="1A4FF407" w14:textId="77777777" w:rsidR="004111A3" w:rsidRDefault="00A909B0">
            <w:pPr>
              <w:numPr>
                <w:ilvl w:val="0"/>
                <w:numId w:val="2"/>
              </w:numPr>
              <w:spacing w:before="120" w:after="120"/>
              <w:ind w:left="504" w:hanging="330"/>
              <w:rPr>
                <w:color w:val="000000"/>
                <w:sz w:val="20"/>
                <w:szCs w:val="20"/>
              </w:rPr>
            </w:pPr>
            <w:r>
              <w:rPr>
                <w:color w:val="000000"/>
                <w:sz w:val="20"/>
                <w:szCs w:val="20"/>
              </w:rPr>
              <w:t xml:space="preserve">кількість еквівалентів днів, відпрацьованих на цій діяльності, зафіксованих у щомісячній декларації або в іншій надійній системі обліку робочого часу (правильно перерахованих за однією з </w:t>
            </w:r>
            <w:r>
              <w:rPr>
                <w:color w:val="000000"/>
                <w:sz w:val="20"/>
                <w:szCs w:val="20"/>
              </w:rPr>
              <w:lastRenderedPageBreak/>
              <w:t xml:space="preserve">прийнятих формул, див. ст. 20 ГУ </w:t>
            </w:r>
            <w:hyperlink r:id="rId11">
              <w:r>
                <w:rPr>
                  <w:i/>
                  <w:color w:val="0088CC"/>
                  <w:sz w:val="20"/>
                  <w:szCs w:val="20"/>
                  <w:u w:val="single"/>
                </w:rPr>
                <w:t xml:space="preserve">AGA — </w:t>
              </w:r>
              <w:proofErr w:type="spellStart"/>
              <w:r>
                <w:rPr>
                  <w:i/>
                  <w:color w:val="0088CC"/>
                  <w:sz w:val="20"/>
                  <w:szCs w:val="20"/>
                  <w:u w:val="single"/>
                </w:rPr>
                <w:t>Annotated</w:t>
              </w:r>
              <w:proofErr w:type="spellEnd"/>
              <w:r>
                <w:rPr>
                  <w:i/>
                  <w:color w:val="0088CC"/>
                  <w:sz w:val="20"/>
                  <w:szCs w:val="20"/>
                  <w:u w:val="single"/>
                </w:rPr>
                <w:t xml:space="preserve"> </w:t>
              </w:r>
              <w:proofErr w:type="spellStart"/>
              <w:r>
                <w:rPr>
                  <w:i/>
                  <w:color w:val="0088CC"/>
                  <w:sz w:val="20"/>
                  <w:szCs w:val="20"/>
                  <w:u w:val="single"/>
                </w:rPr>
                <w:t>Grant</w:t>
              </w:r>
              <w:proofErr w:type="spellEnd"/>
              <w:r>
                <w:rPr>
                  <w:i/>
                  <w:color w:val="0088CC"/>
                  <w:sz w:val="20"/>
                  <w:szCs w:val="20"/>
                  <w:u w:val="single"/>
                </w:rPr>
                <w:t xml:space="preserve"> </w:t>
              </w:r>
              <w:proofErr w:type="spellStart"/>
              <w:r>
                <w:rPr>
                  <w:i/>
                  <w:color w:val="0088CC"/>
                  <w:sz w:val="20"/>
                  <w:szCs w:val="20"/>
                  <w:u w:val="single"/>
                </w:rPr>
                <w:t>Agreement</w:t>
              </w:r>
              <w:proofErr w:type="spellEnd"/>
            </w:hyperlink>
            <w:r>
              <w:rPr>
                <w:i/>
                <w:color w:val="808080"/>
                <w:sz w:val="20"/>
                <w:szCs w:val="20"/>
              </w:rPr>
              <w:t>*</w:t>
            </w:r>
            <w:r>
              <w:rPr>
                <w:i/>
                <w:color w:val="000000"/>
                <w:sz w:val="20"/>
                <w:szCs w:val="20"/>
              </w:rPr>
              <w:t xml:space="preserve"> </w:t>
            </w:r>
            <w:r>
              <w:rPr>
                <w:color w:val="000000"/>
                <w:sz w:val="20"/>
                <w:szCs w:val="20"/>
              </w:rPr>
              <w:t>)</w:t>
            </w:r>
          </w:p>
          <w:p w14:paraId="08517255" w14:textId="77777777" w:rsidR="004111A3" w:rsidRDefault="00A909B0">
            <w:pPr>
              <w:spacing w:before="120" w:after="120"/>
              <w:rPr>
                <w:color w:val="000000"/>
                <w:sz w:val="20"/>
                <w:szCs w:val="20"/>
              </w:rPr>
            </w:pPr>
            <w:r>
              <w:rPr>
                <w:color w:val="000000"/>
                <w:sz w:val="20"/>
                <w:szCs w:val="20"/>
              </w:rPr>
              <w:t>Щоб підтвердити стандартні висновки в наступній колонці, фахівець перевірив наступну інформацію/документи, надані учасником:</w:t>
            </w:r>
          </w:p>
          <w:p w14:paraId="379BECCA" w14:textId="77777777" w:rsidR="004111A3" w:rsidRDefault="00A909B0">
            <w:pPr>
              <w:numPr>
                <w:ilvl w:val="0"/>
                <w:numId w:val="2"/>
              </w:numPr>
              <w:spacing w:before="120" w:after="120"/>
              <w:ind w:left="504" w:hanging="330"/>
              <w:rPr>
                <w:color w:val="000000"/>
                <w:sz w:val="20"/>
                <w:szCs w:val="20"/>
              </w:rPr>
            </w:pPr>
            <w:r>
              <w:rPr>
                <w:color w:val="000000"/>
                <w:sz w:val="20"/>
                <w:szCs w:val="20"/>
              </w:rPr>
              <w:t>список осіб, включених до вибірки, із зазначенням періоду(-</w:t>
            </w:r>
            <w:proofErr w:type="spellStart"/>
            <w:r>
              <w:rPr>
                <w:color w:val="000000"/>
                <w:sz w:val="20"/>
                <w:szCs w:val="20"/>
              </w:rPr>
              <w:t>ів</w:t>
            </w:r>
            <w:proofErr w:type="spellEnd"/>
            <w:r>
              <w:rPr>
                <w:color w:val="000000"/>
                <w:sz w:val="20"/>
                <w:szCs w:val="20"/>
              </w:rPr>
              <w:t>), протягом якого(-</w:t>
            </w:r>
            <w:proofErr w:type="spellStart"/>
            <w:r>
              <w:rPr>
                <w:color w:val="000000"/>
                <w:sz w:val="20"/>
                <w:szCs w:val="20"/>
              </w:rPr>
              <w:t>их</w:t>
            </w:r>
            <w:proofErr w:type="spellEnd"/>
            <w:r>
              <w:rPr>
                <w:color w:val="000000"/>
                <w:sz w:val="20"/>
                <w:szCs w:val="20"/>
              </w:rPr>
              <w:t>) вони працювали на діяльність, їхньої посади (класифікація або категорія) та типу контракту (або інший документ, що підтверджує фактор робочого часу)</w:t>
            </w:r>
          </w:p>
          <w:p w14:paraId="73D7C6EA" w14:textId="77777777" w:rsidR="004111A3" w:rsidRDefault="00A909B0">
            <w:pPr>
              <w:numPr>
                <w:ilvl w:val="0"/>
                <w:numId w:val="2"/>
              </w:numPr>
              <w:spacing w:before="120" w:after="120"/>
              <w:ind w:left="504" w:hanging="330"/>
              <w:rPr>
                <w:color w:val="000000"/>
                <w:sz w:val="20"/>
                <w:szCs w:val="20"/>
              </w:rPr>
            </w:pPr>
            <w:r>
              <w:rPr>
                <w:color w:val="000000"/>
                <w:sz w:val="20"/>
                <w:szCs w:val="20"/>
              </w:rPr>
              <w:t>платіжні відомості працівників, включених до вибірки, а також документи, що підтверджують виплату заробітної плати (перевірено щонайменше дві виплати заробітної плати на особу на рік); інформація про статус зайнятості та умови праці працівників, включених до вибірки, зокрема, їхні трудові договори або еквівалентні їм документи</w:t>
            </w:r>
          </w:p>
          <w:p w14:paraId="37F6EE6D" w14:textId="77777777" w:rsidR="004111A3" w:rsidRDefault="00A909B0">
            <w:pPr>
              <w:numPr>
                <w:ilvl w:val="0"/>
                <w:numId w:val="2"/>
              </w:numPr>
              <w:spacing w:before="120" w:after="120"/>
              <w:ind w:left="504" w:hanging="330"/>
              <w:jc w:val="left"/>
              <w:rPr>
                <w:color w:val="000000"/>
                <w:sz w:val="20"/>
                <w:szCs w:val="20"/>
              </w:rPr>
            </w:pPr>
            <w:r>
              <w:rPr>
                <w:i/>
                <w:color w:val="000000"/>
                <w:sz w:val="20"/>
                <w:szCs w:val="20"/>
              </w:rPr>
              <w:t>звичайну політику учасника щодо питань оплати праці (наприклад, політику заробітної плати, понаднормових, змінної оплати праці/премій)</w:t>
            </w:r>
          </w:p>
          <w:p w14:paraId="1725A95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чинне національне законодавство про податки, працю та соціальне забезпечення</w:t>
            </w:r>
          </w:p>
          <w:p w14:paraId="1ADE04A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щомісячні декларації/облік робочого часу працівників, включених до вибірки, та</w:t>
            </w:r>
          </w:p>
          <w:p w14:paraId="5264A420"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будь-який інший документ, що підтверджує задекларовані витрати на персонал.</w:t>
            </w:r>
          </w:p>
          <w:p w14:paraId="79F94154" w14:textId="77777777" w:rsidR="004111A3" w:rsidRDefault="00A909B0">
            <w:pPr>
              <w:spacing w:before="120" w:after="120"/>
              <w:rPr>
                <w:color w:val="000000"/>
                <w:sz w:val="20"/>
                <w:szCs w:val="20"/>
              </w:rPr>
            </w:pPr>
            <w:r>
              <w:rPr>
                <w:color w:val="000000"/>
                <w:sz w:val="20"/>
                <w:szCs w:val="20"/>
              </w:rPr>
              <w:t>Експерт також перевірив прийнятність усіх компонентів (див. ст. 6) і перерахував витрати на персонал, задекларовані у фінансовому звіті (звітах), шляхом повторного застосування формули витрат на персонал з використанням даних бухгалтерської системи (проектної бухгалтерії та головної книги), системи нарахування заробітної плати, системи обліку робочого часу та підтверджуючих документів, що підтверджують коефіцієнт робочого часу.</w:t>
            </w:r>
          </w:p>
        </w:tc>
        <w:tc>
          <w:tcPr>
            <w:tcW w:w="4962" w:type="dxa"/>
            <w:gridSpan w:val="2"/>
            <w:shd w:val="clear" w:color="auto" w:fill="auto"/>
            <w:tcMar>
              <w:top w:w="0" w:type="dxa"/>
              <w:left w:w="108" w:type="dxa"/>
              <w:bottom w:w="0" w:type="dxa"/>
              <w:right w:w="108" w:type="dxa"/>
            </w:tcMar>
          </w:tcPr>
          <w:p w14:paraId="6A4C2E52"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lastRenderedPageBreak/>
              <w:t>Витрати, використані для розрахунку добової ставки, були прийнятними (без неприйнятних компонентів), ідентифікованими та перевіреними, пов'язаними з акцією та понесеними учасником (підтвердження оплати, відсутність повторного виставлення рахунків іншим суб'єктам) протягом тривалості акції відповідно до його звичайної практики обліку витрат.</w:t>
            </w:r>
          </w:p>
        </w:tc>
        <w:tc>
          <w:tcPr>
            <w:tcW w:w="1375" w:type="dxa"/>
            <w:shd w:val="clear" w:color="auto" w:fill="auto"/>
            <w:tcMar>
              <w:top w:w="0" w:type="dxa"/>
              <w:left w:w="108" w:type="dxa"/>
              <w:bottom w:w="0" w:type="dxa"/>
              <w:right w:w="108" w:type="dxa"/>
            </w:tcMar>
          </w:tcPr>
          <w:p w14:paraId="0799F4E8"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4781969F" w14:textId="77777777">
        <w:trPr>
          <w:gridAfter w:val="1"/>
          <w:wAfter w:w="7" w:type="dxa"/>
        </w:trPr>
        <w:tc>
          <w:tcPr>
            <w:tcW w:w="1091" w:type="dxa"/>
            <w:vMerge/>
          </w:tcPr>
          <w:p w14:paraId="3389D97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4A694D8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44D0FC7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2071CD01" w14:textId="77777777" w:rsidR="004111A3" w:rsidRDefault="00A909B0">
            <w:pPr>
              <w:numPr>
                <w:ilvl w:val="0"/>
                <w:numId w:val="3"/>
              </w:numPr>
              <w:spacing w:before="120" w:after="120"/>
              <w:rPr>
                <w:color w:val="000000"/>
                <w:sz w:val="20"/>
                <w:szCs w:val="20"/>
              </w:rPr>
            </w:pPr>
            <w:r>
              <w:rPr>
                <w:color w:val="000000"/>
                <w:sz w:val="20"/>
                <w:szCs w:val="20"/>
              </w:rPr>
              <w:t>Особи працювали на учасника на підставі трудового договору або еквівалентного документа про призначення.</w:t>
            </w:r>
          </w:p>
        </w:tc>
        <w:tc>
          <w:tcPr>
            <w:tcW w:w="1375" w:type="dxa"/>
            <w:shd w:val="clear" w:color="auto" w:fill="auto"/>
            <w:tcMar>
              <w:top w:w="0" w:type="dxa"/>
              <w:left w:w="108" w:type="dxa"/>
              <w:bottom w:w="0" w:type="dxa"/>
              <w:right w:w="108" w:type="dxa"/>
            </w:tcMar>
          </w:tcPr>
          <w:p w14:paraId="48D25131" w14:textId="77777777" w:rsidR="004111A3" w:rsidRDefault="00A909B0">
            <w:pPr>
              <w:spacing w:before="120" w:after="120"/>
              <w:rPr>
                <w:color w:val="000000"/>
                <w:sz w:val="20"/>
                <w:szCs w:val="20"/>
              </w:rPr>
            </w:pPr>
            <w:r>
              <w:rPr>
                <w:color w:val="000000"/>
                <w:sz w:val="20"/>
                <w:szCs w:val="20"/>
              </w:rPr>
              <w:t>ТАК / НІ / Н.З.</w:t>
            </w:r>
          </w:p>
        </w:tc>
      </w:tr>
      <w:tr w:rsidR="004111A3" w14:paraId="21E875BD" w14:textId="77777777">
        <w:trPr>
          <w:gridAfter w:val="1"/>
          <w:wAfter w:w="7" w:type="dxa"/>
        </w:trPr>
        <w:tc>
          <w:tcPr>
            <w:tcW w:w="1091" w:type="dxa"/>
            <w:vMerge/>
          </w:tcPr>
          <w:p w14:paraId="517C391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25A6ED5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0FEBEF1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6940CA1B" w14:textId="77777777" w:rsidR="004111A3" w:rsidRDefault="00A909B0">
            <w:pPr>
              <w:numPr>
                <w:ilvl w:val="0"/>
                <w:numId w:val="3"/>
              </w:numPr>
              <w:spacing w:before="120" w:after="120"/>
              <w:rPr>
                <w:color w:val="000000"/>
                <w:sz w:val="20"/>
                <w:szCs w:val="20"/>
              </w:rPr>
            </w:pPr>
            <w:r>
              <w:rPr>
                <w:color w:val="000000"/>
                <w:sz w:val="20"/>
                <w:szCs w:val="20"/>
              </w:rPr>
              <w:t>Ці особи були i) безпосередньо найняті учасником відповідно до його національного законодавства, ii) перебували під повним технічним наглядом і відповідальністю учасника та iii) отримували винагороду відповідно до звичайної практики учасника.</w:t>
            </w:r>
          </w:p>
        </w:tc>
        <w:tc>
          <w:tcPr>
            <w:tcW w:w="1375" w:type="dxa"/>
            <w:shd w:val="clear" w:color="auto" w:fill="auto"/>
            <w:tcMar>
              <w:top w:w="0" w:type="dxa"/>
              <w:left w:w="108" w:type="dxa"/>
              <w:bottom w:w="0" w:type="dxa"/>
              <w:right w:w="108" w:type="dxa"/>
            </w:tcMar>
          </w:tcPr>
          <w:p w14:paraId="75964BD7" w14:textId="77777777" w:rsidR="004111A3" w:rsidRDefault="00A909B0">
            <w:pPr>
              <w:spacing w:before="120" w:after="120"/>
              <w:rPr>
                <w:color w:val="000000"/>
                <w:sz w:val="20"/>
                <w:szCs w:val="20"/>
              </w:rPr>
            </w:pPr>
            <w:r>
              <w:rPr>
                <w:color w:val="000000"/>
                <w:sz w:val="20"/>
                <w:szCs w:val="20"/>
              </w:rPr>
              <w:t>ТАК / НІ / Н.З.</w:t>
            </w:r>
          </w:p>
        </w:tc>
      </w:tr>
      <w:tr w:rsidR="004111A3" w14:paraId="4B3341EF" w14:textId="77777777">
        <w:trPr>
          <w:gridAfter w:val="1"/>
          <w:wAfter w:w="7" w:type="dxa"/>
        </w:trPr>
        <w:tc>
          <w:tcPr>
            <w:tcW w:w="1091" w:type="dxa"/>
            <w:vMerge/>
          </w:tcPr>
          <w:p w14:paraId="6DF9863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189F9CF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3E5487D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4BEB3497" w14:textId="77777777" w:rsidR="004111A3" w:rsidRDefault="00A909B0">
            <w:pPr>
              <w:numPr>
                <w:ilvl w:val="0"/>
                <w:numId w:val="3"/>
              </w:numPr>
              <w:spacing w:before="120" w:after="120"/>
              <w:rPr>
                <w:color w:val="000000"/>
                <w:sz w:val="20"/>
                <w:szCs w:val="20"/>
              </w:rPr>
            </w:pPr>
            <w:r>
              <w:rPr>
                <w:color w:val="000000"/>
                <w:sz w:val="20"/>
                <w:szCs w:val="20"/>
              </w:rPr>
              <w:t>Час зайнятості осіб під час діяльності відповідає кількості місяців, використаних для розрахунку максимального еквіваленту задекларованих днів.</w:t>
            </w:r>
          </w:p>
        </w:tc>
        <w:tc>
          <w:tcPr>
            <w:tcW w:w="1375" w:type="dxa"/>
            <w:shd w:val="clear" w:color="auto" w:fill="auto"/>
            <w:tcMar>
              <w:top w:w="0" w:type="dxa"/>
              <w:left w:w="108" w:type="dxa"/>
              <w:bottom w:w="0" w:type="dxa"/>
              <w:right w:w="108" w:type="dxa"/>
            </w:tcMar>
          </w:tcPr>
          <w:p w14:paraId="194D72A1" w14:textId="77777777" w:rsidR="004111A3" w:rsidRDefault="00A909B0">
            <w:pPr>
              <w:spacing w:before="120" w:after="120"/>
              <w:rPr>
                <w:color w:val="000000"/>
                <w:sz w:val="20"/>
                <w:szCs w:val="20"/>
              </w:rPr>
            </w:pPr>
            <w:r>
              <w:rPr>
                <w:color w:val="000000"/>
                <w:sz w:val="20"/>
                <w:szCs w:val="20"/>
              </w:rPr>
              <w:t>ТАК / НІ / Н.З.</w:t>
            </w:r>
          </w:p>
        </w:tc>
      </w:tr>
      <w:tr w:rsidR="004111A3" w14:paraId="26CB8D8E" w14:textId="77777777">
        <w:trPr>
          <w:gridAfter w:val="1"/>
          <w:wAfter w:w="7" w:type="dxa"/>
        </w:trPr>
        <w:tc>
          <w:tcPr>
            <w:tcW w:w="1091" w:type="dxa"/>
            <w:vMerge/>
          </w:tcPr>
          <w:p w14:paraId="0875578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18AC7B0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2BF8042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64C4DCE8"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Коефіцієнт(и) робочого часу особи відповідає(</w:t>
            </w:r>
            <w:proofErr w:type="spellStart"/>
            <w:r>
              <w:rPr>
                <w:color w:val="000000"/>
                <w:sz w:val="20"/>
                <w:szCs w:val="20"/>
              </w:rPr>
              <w:t>ють</w:t>
            </w:r>
            <w:proofErr w:type="spellEnd"/>
            <w:r>
              <w:rPr>
                <w:color w:val="000000"/>
                <w:sz w:val="20"/>
                <w:szCs w:val="20"/>
              </w:rPr>
              <w:t>) коефіцієнту(</w:t>
            </w:r>
            <w:proofErr w:type="spellStart"/>
            <w:r>
              <w:rPr>
                <w:color w:val="000000"/>
                <w:sz w:val="20"/>
                <w:szCs w:val="20"/>
              </w:rPr>
              <w:t>ам</w:t>
            </w:r>
            <w:proofErr w:type="spellEnd"/>
            <w:r>
              <w:rPr>
                <w:color w:val="000000"/>
                <w:sz w:val="20"/>
                <w:szCs w:val="20"/>
              </w:rPr>
              <w:t>), який(і) використовується(</w:t>
            </w:r>
            <w:proofErr w:type="spellStart"/>
            <w:r>
              <w:rPr>
                <w:color w:val="000000"/>
                <w:sz w:val="20"/>
                <w:szCs w:val="20"/>
              </w:rPr>
              <w:t>ють</w:t>
            </w:r>
            <w:proofErr w:type="spellEnd"/>
            <w:r>
              <w:rPr>
                <w:color w:val="000000"/>
                <w:sz w:val="20"/>
                <w:szCs w:val="20"/>
              </w:rPr>
              <w:t xml:space="preserve">) </w:t>
            </w:r>
            <w:r>
              <w:rPr>
                <w:color w:val="000000"/>
                <w:sz w:val="20"/>
                <w:szCs w:val="20"/>
              </w:rPr>
              <w:lastRenderedPageBreak/>
              <w:t>для розрахунку максимального еквіваленту задекларованих днів.</w:t>
            </w:r>
          </w:p>
        </w:tc>
        <w:tc>
          <w:tcPr>
            <w:tcW w:w="1375" w:type="dxa"/>
            <w:shd w:val="clear" w:color="auto" w:fill="auto"/>
            <w:tcMar>
              <w:top w:w="0" w:type="dxa"/>
              <w:left w:w="108" w:type="dxa"/>
              <w:bottom w:w="0" w:type="dxa"/>
              <w:right w:w="108" w:type="dxa"/>
            </w:tcMar>
          </w:tcPr>
          <w:p w14:paraId="6F5B90B6" w14:textId="77777777" w:rsidR="004111A3" w:rsidRDefault="00A909B0">
            <w:pPr>
              <w:spacing w:before="120" w:after="120"/>
              <w:rPr>
                <w:color w:val="000000"/>
                <w:sz w:val="20"/>
                <w:szCs w:val="20"/>
              </w:rPr>
            </w:pPr>
            <w:r>
              <w:rPr>
                <w:color w:val="000000"/>
                <w:sz w:val="20"/>
                <w:szCs w:val="20"/>
              </w:rPr>
              <w:lastRenderedPageBreak/>
              <w:t>ТАК / НІ / Н.З.</w:t>
            </w:r>
          </w:p>
        </w:tc>
      </w:tr>
      <w:tr w:rsidR="004111A3" w14:paraId="0F0873E4" w14:textId="77777777">
        <w:trPr>
          <w:gridAfter w:val="1"/>
          <w:wAfter w:w="7" w:type="dxa"/>
        </w:trPr>
        <w:tc>
          <w:tcPr>
            <w:tcW w:w="1091" w:type="dxa"/>
            <w:vMerge/>
          </w:tcPr>
          <w:p w14:paraId="6A0248B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74AD77C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3DD9674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585B37F3" w14:textId="77777777" w:rsidR="004111A3" w:rsidRDefault="00A909B0">
            <w:pPr>
              <w:numPr>
                <w:ilvl w:val="0"/>
                <w:numId w:val="3"/>
              </w:numPr>
              <w:spacing w:before="120" w:after="120"/>
              <w:rPr>
                <w:color w:val="000000"/>
                <w:sz w:val="20"/>
                <w:szCs w:val="20"/>
              </w:rPr>
            </w:pPr>
            <w:r>
              <w:rPr>
                <w:color w:val="000000"/>
                <w:sz w:val="20"/>
                <w:szCs w:val="20"/>
              </w:rPr>
              <w:t>Особи були призначені для участі в діяльності відповідно до щомісячної декларації про відпрацьовані дні в еквіваленті, або внутрішніх письмових інструкцій, організаційної схеми чи іншого задокументованого рішення керівництва.</w:t>
            </w:r>
          </w:p>
        </w:tc>
        <w:tc>
          <w:tcPr>
            <w:tcW w:w="1375" w:type="dxa"/>
            <w:shd w:val="clear" w:color="auto" w:fill="auto"/>
            <w:tcMar>
              <w:top w:w="0" w:type="dxa"/>
              <w:left w:w="108" w:type="dxa"/>
              <w:bottom w:w="0" w:type="dxa"/>
              <w:right w:w="108" w:type="dxa"/>
            </w:tcMar>
          </w:tcPr>
          <w:p w14:paraId="3E7E5179" w14:textId="77777777" w:rsidR="004111A3" w:rsidRDefault="00A909B0">
            <w:pPr>
              <w:spacing w:before="120" w:after="120"/>
              <w:rPr>
                <w:color w:val="000000"/>
                <w:sz w:val="20"/>
                <w:szCs w:val="20"/>
              </w:rPr>
            </w:pPr>
            <w:r>
              <w:rPr>
                <w:color w:val="000000"/>
                <w:sz w:val="20"/>
                <w:szCs w:val="20"/>
              </w:rPr>
              <w:t>ТАК / НІ / Н.З.</w:t>
            </w:r>
          </w:p>
        </w:tc>
      </w:tr>
      <w:tr w:rsidR="004111A3" w14:paraId="22C61B07" w14:textId="77777777">
        <w:trPr>
          <w:gridAfter w:val="1"/>
          <w:wAfter w:w="7" w:type="dxa"/>
        </w:trPr>
        <w:tc>
          <w:tcPr>
            <w:tcW w:w="1091" w:type="dxa"/>
            <w:vMerge/>
          </w:tcPr>
          <w:p w14:paraId="525298A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45B6A8D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0B79059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3CD873DB" w14:textId="77777777" w:rsidR="004111A3" w:rsidRDefault="00A909B0">
            <w:pPr>
              <w:numPr>
                <w:ilvl w:val="0"/>
                <w:numId w:val="3"/>
              </w:numPr>
              <w:pBdr>
                <w:top w:val="nil"/>
                <w:left w:val="nil"/>
                <w:bottom w:val="nil"/>
                <w:right w:val="nil"/>
                <w:between w:val="nil"/>
              </w:pBdr>
              <w:spacing w:before="120" w:after="120"/>
              <w:rPr>
                <w:rFonts w:ascii="Calibri" w:eastAsia="Calibri" w:hAnsi="Calibri" w:cs="Calibri"/>
                <w:i/>
                <w:color w:val="000000"/>
                <w:sz w:val="20"/>
                <w:szCs w:val="20"/>
              </w:rPr>
            </w:pPr>
            <w:r>
              <w:rPr>
                <w:color w:val="000000"/>
                <w:sz w:val="20"/>
                <w:szCs w:val="20"/>
              </w:rPr>
              <w:t xml:space="preserve">Максимальний еквівалент задекларованих днів для особи був правильно розрахований за наступною формулою (або адаптований для конкретних випадків, див. ст. 6.2.A.1 GA та відповідний розділ </w:t>
            </w:r>
            <w:hyperlink r:id="rId12">
              <w:r>
                <w:rPr>
                  <w:color w:val="0088CC"/>
                  <w:sz w:val="20"/>
                  <w:szCs w:val="20"/>
                  <w:u w:val="single"/>
                </w:rPr>
                <w:t xml:space="preserve">AGA — </w:t>
              </w:r>
              <w:proofErr w:type="spellStart"/>
              <w:r>
                <w:rPr>
                  <w:color w:val="0088CC"/>
                  <w:sz w:val="20"/>
                  <w:szCs w:val="20"/>
                  <w:u w:val="single"/>
                </w:rPr>
                <w:t>Annotated</w:t>
              </w:r>
              <w:proofErr w:type="spellEnd"/>
              <w:r>
                <w:rPr>
                  <w:color w:val="0088CC"/>
                  <w:sz w:val="20"/>
                  <w:szCs w:val="20"/>
                  <w:u w:val="single"/>
                </w:rPr>
                <w:t xml:space="preserve"> </w:t>
              </w:r>
              <w:proofErr w:type="spellStart"/>
              <w:r>
                <w:rPr>
                  <w:color w:val="0088CC"/>
                  <w:sz w:val="20"/>
                  <w:szCs w:val="20"/>
                  <w:u w:val="single"/>
                </w:rPr>
                <w:t>Grant</w:t>
              </w:r>
              <w:proofErr w:type="spellEnd"/>
              <w:r>
                <w:rPr>
                  <w:color w:val="0088CC"/>
                  <w:sz w:val="20"/>
                  <w:szCs w:val="20"/>
                  <w:u w:val="single"/>
                </w:rPr>
                <w:t xml:space="preserve"> </w:t>
              </w:r>
              <w:proofErr w:type="spellStart"/>
              <w:r>
                <w:rPr>
                  <w:color w:val="0088CC"/>
                  <w:sz w:val="20"/>
                  <w:szCs w:val="20"/>
                  <w:u w:val="single"/>
                </w:rPr>
                <w:t>Agreement</w:t>
              </w:r>
              <w:proofErr w:type="spellEnd"/>
            </w:hyperlink>
            <w:r>
              <w:rPr>
                <w:color w:val="808080"/>
                <w:sz w:val="20"/>
                <w:szCs w:val="20"/>
              </w:rPr>
              <w:t>*</w:t>
            </w:r>
            <w:r>
              <w:rPr>
                <w:color w:val="000000"/>
                <w:sz w:val="20"/>
                <w:szCs w:val="20"/>
              </w:rPr>
              <w:t xml:space="preserve"> ).</w:t>
            </w:r>
          </w:p>
        </w:tc>
        <w:tc>
          <w:tcPr>
            <w:tcW w:w="1375" w:type="dxa"/>
            <w:shd w:val="clear" w:color="auto" w:fill="auto"/>
            <w:tcMar>
              <w:top w:w="0" w:type="dxa"/>
              <w:left w:w="108" w:type="dxa"/>
              <w:bottom w:w="0" w:type="dxa"/>
              <w:right w:w="108" w:type="dxa"/>
            </w:tcMar>
          </w:tcPr>
          <w:p w14:paraId="56E17804" w14:textId="77777777" w:rsidR="004111A3" w:rsidRDefault="00A909B0">
            <w:pPr>
              <w:spacing w:before="120" w:after="120"/>
              <w:rPr>
                <w:color w:val="000000"/>
                <w:sz w:val="20"/>
                <w:szCs w:val="20"/>
              </w:rPr>
            </w:pPr>
            <w:r>
              <w:rPr>
                <w:color w:val="000000"/>
                <w:sz w:val="20"/>
                <w:szCs w:val="20"/>
              </w:rPr>
              <w:t>ТАК / НІ / Н.З.</w:t>
            </w:r>
          </w:p>
        </w:tc>
      </w:tr>
      <w:tr w:rsidR="004111A3" w14:paraId="1353B302" w14:textId="77777777">
        <w:trPr>
          <w:gridAfter w:val="1"/>
          <w:wAfter w:w="7" w:type="dxa"/>
        </w:trPr>
        <w:tc>
          <w:tcPr>
            <w:tcW w:w="1091" w:type="dxa"/>
            <w:vMerge/>
          </w:tcPr>
          <w:p w14:paraId="2507B2C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3361A6C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4448D6A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395F5F6B" w14:textId="77777777" w:rsidR="004111A3" w:rsidRDefault="00A909B0">
            <w:pPr>
              <w:numPr>
                <w:ilvl w:val="0"/>
                <w:numId w:val="3"/>
              </w:numPr>
              <w:spacing w:before="120" w:after="120"/>
              <w:rPr>
                <w:color w:val="000000"/>
                <w:sz w:val="20"/>
                <w:szCs w:val="20"/>
              </w:rPr>
            </w:pPr>
            <w:r>
              <w:rPr>
                <w:color w:val="000000"/>
                <w:sz w:val="20"/>
                <w:szCs w:val="20"/>
              </w:rPr>
              <w:t>Максимальні задекларовані денні еквіваленти, що використовуються для розрахунку витрат на персонал, правильно округлені (у бік збільшення або зменшення до найближчого південного еквівалента).</w:t>
            </w:r>
          </w:p>
        </w:tc>
        <w:tc>
          <w:tcPr>
            <w:tcW w:w="1375" w:type="dxa"/>
            <w:shd w:val="clear" w:color="auto" w:fill="auto"/>
            <w:tcMar>
              <w:top w:w="0" w:type="dxa"/>
              <w:left w:w="108" w:type="dxa"/>
              <w:bottom w:w="0" w:type="dxa"/>
              <w:right w:w="108" w:type="dxa"/>
            </w:tcMar>
          </w:tcPr>
          <w:p w14:paraId="1ADC5FCB" w14:textId="77777777" w:rsidR="004111A3" w:rsidRDefault="00A909B0">
            <w:pPr>
              <w:spacing w:before="120" w:after="120"/>
              <w:rPr>
                <w:color w:val="000000"/>
                <w:sz w:val="20"/>
                <w:szCs w:val="20"/>
              </w:rPr>
            </w:pPr>
            <w:r>
              <w:rPr>
                <w:color w:val="000000"/>
                <w:sz w:val="20"/>
                <w:szCs w:val="20"/>
              </w:rPr>
              <w:t>ТАК / НІ / Н.З.</w:t>
            </w:r>
          </w:p>
        </w:tc>
      </w:tr>
      <w:tr w:rsidR="004111A3" w14:paraId="68915269" w14:textId="77777777">
        <w:trPr>
          <w:gridAfter w:val="1"/>
          <w:wAfter w:w="7" w:type="dxa"/>
        </w:trPr>
        <w:tc>
          <w:tcPr>
            <w:tcW w:w="1091" w:type="dxa"/>
            <w:vMerge/>
          </w:tcPr>
          <w:p w14:paraId="0D07196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6466A82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514D1C2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163D20E4" w14:textId="77777777" w:rsidR="004111A3" w:rsidRDefault="00A909B0">
            <w:pPr>
              <w:numPr>
                <w:ilvl w:val="0"/>
                <w:numId w:val="3"/>
              </w:numPr>
              <w:spacing w:before="120" w:after="120"/>
              <w:rPr>
                <w:color w:val="000000"/>
                <w:sz w:val="20"/>
                <w:szCs w:val="20"/>
              </w:rPr>
            </w:pPr>
            <w:r>
              <w:rPr>
                <w:color w:val="000000"/>
                <w:sz w:val="20"/>
                <w:szCs w:val="20"/>
              </w:rPr>
              <w:t>Денна ставка була розрахована правильно (фактичні витрати на персонал протягом місяців у звітному періоді поділені на максимальний задекларований денний еквівалент).</w:t>
            </w:r>
          </w:p>
        </w:tc>
        <w:tc>
          <w:tcPr>
            <w:tcW w:w="1375" w:type="dxa"/>
            <w:shd w:val="clear" w:color="auto" w:fill="auto"/>
            <w:tcMar>
              <w:top w:w="0" w:type="dxa"/>
              <w:left w:w="108" w:type="dxa"/>
              <w:bottom w:w="0" w:type="dxa"/>
              <w:right w:w="108" w:type="dxa"/>
            </w:tcMar>
          </w:tcPr>
          <w:p w14:paraId="42238AD1" w14:textId="77777777" w:rsidR="004111A3" w:rsidRDefault="00A909B0">
            <w:pPr>
              <w:spacing w:before="120" w:after="120"/>
              <w:rPr>
                <w:color w:val="000000"/>
                <w:sz w:val="20"/>
                <w:szCs w:val="20"/>
              </w:rPr>
            </w:pPr>
            <w:r>
              <w:rPr>
                <w:color w:val="000000"/>
                <w:sz w:val="20"/>
                <w:szCs w:val="20"/>
              </w:rPr>
              <w:t>ТАК / НІ / Н.З.</w:t>
            </w:r>
          </w:p>
        </w:tc>
      </w:tr>
      <w:tr w:rsidR="004111A3" w14:paraId="571049D5" w14:textId="77777777">
        <w:trPr>
          <w:gridAfter w:val="1"/>
          <w:wAfter w:w="7" w:type="dxa"/>
        </w:trPr>
        <w:tc>
          <w:tcPr>
            <w:tcW w:w="1091" w:type="dxa"/>
            <w:vMerge/>
          </w:tcPr>
          <w:p w14:paraId="2A1361D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449DF4F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7ACC4CF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0AB2D098"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Еквіваленти днів, відпрацьованих на діяльність, були зафіксовані в щомісячній декларації, підписаній особою та її керівником, або зафіксовані в іншій надійній системі обліку робочого часу.</w:t>
            </w:r>
          </w:p>
        </w:tc>
        <w:tc>
          <w:tcPr>
            <w:tcW w:w="1375" w:type="dxa"/>
            <w:shd w:val="clear" w:color="auto" w:fill="auto"/>
            <w:tcMar>
              <w:top w:w="0" w:type="dxa"/>
              <w:left w:w="108" w:type="dxa"/>
              <w:bottom w:w="0" w:type="dxa"/>
              <w:right w:w="108" w:type="dxa"/>
            </w:tcMar>
          </w:tcPr>
          <w:p w14:paraId="08F917BC" w14:textId="77777777" w:rsidR="004111A3" w:rsidRDefault="00A909B0">
            <w:pPr>
              <w:spacing w:before="120" w:after="120"/>
              <w:rPr>
                <w:color w:val="000000"/>
                <w:sz w:val="20"/>
                <w:szCs w:val="20"/>
              </w:rPr>
            </w:pPr>
            <w:r>
              <w:rPr>
                <w:color w:val="000000"/>
                <w:sz w:val="20"/>
                <w:szCs w:val="20"/>
              </w:rPr>
              <w:t>ТАК / НІ / Н.З.</w:t>
            </w:r>
          </w:p>
        </w:tc>
      </w:tr>
      <w:tr w:rsidR="004111A3" w14:paraId="3E98EE85" w14:textId="77777777">
        <w:trPr>
          <w:gridAfter w:val="1"/>
          <w:wAfter w:w="7" w:type="dxa"/>
        </w:trPr>
        <w:tc>
          <w:tcPr>
            <w:tcW w:w="1091" w:type="dxa"/>
            <w:vMerge/>
          </w:tcPr>
          <w:p w14:paraId="26ED559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79FA045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07860A3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3C430D97" w14:textId="77777777" w:rsidR="004111A3" w:rsidRDefault="00A909B0">
            <w:pPr>
              <w:numPr>
                <w:ilvl w:val="0"/>
                <w:numId w:val="3"/>
              </w:numPr>
              <w:pBdr>
                <w:top w:val="nil"/>
                <w:left w:val="nil"/>
                <w:bottom w:val="nil"/>
                <w:right w:val="nil"/>
                <w:between w:val="nil"/>
              </w:pBdr>
              <w:spacing w:before="120" w:after="120"/>
              <w:rPr>
                <w:rFonts w:ascii="Calibri" w:eastAsia="Calibri" w:hAnsi="Calibri" w:cs="Calibri"/>
                <w:color w:val="000000"/>
                <w:sz w:val="20"/>
                <w:szCs w:val="20"/>
              </w:rPr>
            </w:pPr>
            <w:r>
              <w:rPr>
                <w:color w:val="000000"/>
                <w:sz w:val="20"/>
                <w:szCs w:val="20"/>
              </w:rPr>
              <w:t xml:space="preserve">Якщо використовувалася інша надійна система обліку часу, час, відпрацьований на дії, був правильно переведений в денний еквівалент за </w:t>
            </w:r>
            <w:r>
              <w:rPr>
                <w:color w:val="000000"/>
                <w:sz w:val="20"/>
                <w:szCs w:val="20"/>
              </w:rPr>
              <w:lastRenderedPageBreak/>
              <w:t>однією з прийнятих формул (див. ст. 20 ГА і відповідний розділ</w:t>
            </w:r>
            <w:r>
              <w:rPr>
                <w:color w:val="000000"/>
              </w:rPr>
              <w:t xml:space="preserve"> </w:t>
            </w:r>
            <w:hyperlink r:id="rId13">
              <w:r>
                <w:rPr>
                  <w:i/>
                  <w:color w:val="0088CC"/>
                  <w:sz w:val="20"/>
                  <w:szCs w:val="20"/>
                  <w:u w:val="single"/>
                </w:rPr>
                <w:t xml:space="preserve">AGA — </w:t>
              </w:r>
              <w:proofErr w:type="spellStart"/>
              <w:r>
                <w:rPr>
                  <w:i/>
                  <w:color w:val="0088CC"/>
                  <w:sz w:val="20"/>
                  <w:szCs w:val="20"/>
                  <w:u w:val="single"/>
                </w:rPr>
                <w:t>Annotated</w:t>
              </w:r>
              <w:proofErr w:type="spellEnd"/>
              <w:r>
                <w:rPr>
                  <w:i/>
                  <w:color w:val="0088CC"/>
                  <w:sz w:val="20"/>
                  <w:szCs w:val="20"/>
                  <w:u w:val="single"/>
                </w:rPr>
                <w:t xml:space="preserve"> </w:t>
              </w:r>
              <w:proofErr w:type="spellStart"/>
              <w:r>
                <w:rPr>
                  <w:i/>
                  <w:color w:val="0088CC"/>
                  <w:sz w:val="20"/>
                  <w:szCs w:val="20"/>
                  <w:u w:val="single"/>
                </w:rPr>
                <w:t>Grant</w:t>
              </w:r>
              <w:proofErr w:type="spellEnd"/>
              <w:r>
                <w:rPr>
                  <w:i/>
                  <w:color w:val="0088CC"/>
                  <w:sz w:val="20"/>
                  <w:szCs w:val="20"/>
                  <w:u w:val="single"/>
                </w:rPr>
                <w:t xml:space="preserve"> </w:t>
              </w:r>
              <w:proofErr w:type="spellStart"/>
              <w:r>
                <w:rPr>
                  <w:i/>
                  <w:color w:val="0088CC"/>
                  <w:sz w:val="20"/>
                  <w:szCs w:val="20"/>
                  <w:u w:val="single"/>
                </w:rPr>
                <w:t>Agreement</w:t>
              </w:r>
              <w:proofErr w:type="spellEnd"/>
            </w:hyperlink>
            <w:r>
              <w:rPr>
                <w:i/>
                <w:color w:val="000000"/>
                <w:sz w:val="20"/>
                <w:szCs w:val="20"/>
              </w:rPr>
              <w:t>*)</w:t>
            </w:r>
            <w:r>
              <w:rPr>
                <w:color w:val="000000"/>
                <w:sz w:val="20"/>
                <w:szCs w:val="20"/>
              </w:rPr>
              <w:t>.</w:t>
            </w:r>
          </w:p>
        </w:tc>
        <w:tc>
          <w:tcPr>
            <w:tcW w:w="1375" w:type="dxa"/>
            <w:shd w:val="clear" w:color="auto" w:fill="auto"/>
            <w:tcMar>
              <w:top w:w="0" w:type="dxa"/>
              <w:left w:w="108" w:type="dxa"/>
              <w:bottom w:w="0" w:type="dxa"/>
              <w:right w:w="108" w:type="dxa"/>
            </w:tcMar>
          </w:tcPr>
          <w:p w14:paraId="736D2E5F" w14:textId="77777777" w:rsidR="004111A3" w:rsidRDefault="00A909B0">
            <w:pPr>
              <w:spacing w:before="120" w:after="120"/>
              <w:rPr>
                <w:color w:val="000000"/>
                <w:sz w:val="20"/>
                <w:szCs w:val="20"/>
              </w:rPr>
            </w:pPr>
            <w:r>
              <w:rPr>
                <w:color w:val="000000"/>
                <w:sz w:val="20"/>
                <w:szCs w:val="20"/>
              </w:rPr>
              <w:lastRenderedPageBreak/>
              <w:t>ТАК / НІ / Н.З.</w:t>
            </w:r>
          </w:p>
        </w:tc>
      </w:tr>
      <w:tr w:rsidR="004111A3" w14:paraId="452D1044" w14:textId="77777777">
        <w:trPr>
          <w:gridAfter w:val="1"/>
          <w:wAfter w:w="7" w:type="dxa"/>
        </w:trPr>
        <w:tc>
          <w:tcPr>
            <w:tcW w:w="1091" w:type="dxa"/>
            <w:vMerge/>
          </w:tcPr>
          <w:p w14:paraId="0C032F7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7140EF8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6332CFB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2F574AB7" w14:textId="77777777" w:rsidR="004111A3" w:rsidRDefault="00A909B0">
            <w:pPr>
              <w:numPr>
                <w:ilvl w:val="0"/>
                <w:numId w:val="3"/>
              </w:numPr>
              <w:spacing w:before="120" w:after="120"/>
              <w:rPr>
                <w:color w:val="000000"/>
                <w:sz w:val="20"/>
                <w:szCs w:val="20"/>
              </w:rPr>
            </w:pPr>
            <w:r>
              <w:rPr>
                <w:color w:val="000000"/>
                <w:sz w:val="20"/>
                <w:szCs w:val="20"/>
              </w:rPr>
              <w:t>Витрати на персонал, задекларовані для осіб за кожен звітний період, були розраховані правильно ({відпрацьовані людино-дні} х {денна ставка}).</w:t>
            </w:r>
          </w:p>
        </w:tc>
        <w:tc>
          <w:tcPr>
            <w:tcW w:w="1375" w:type="dxa"/>
            <w:shd w:val="clear" w:color="auto" w:fill="auto"/>
            <w:tcMar>
              <w:top w:w="0" w:type="dxa"/>
              <w:left w:w="108" w:type="dxa"/>
              <w:bottom w:w="0" w:type="dxa"/>
              <w:right w:w="108" w:type="dxa"/>
            </w:tcMar>
          </w:tcPr>
          <w:p w14:paraId="42DA20E7" w14:textId="77777777" w:rsidR="004111A3" w:rsidRDefault="00A909B0">
            <w:pPr>
              <w:spacing w:before="120" w:after="120"/>
              <w:rPr>
                <w:color w:val="000000"/>
                <w:sz w:val="20"/>
                <w:szCs w:val="20"/>
              </w:rPr>
            </w:pPr>
            <w:r>
              <w:rPr>
                <w:color w:val="000000"/>
                <w:sz w:val="20"/>
                <w:szCs w:val="20"/>
              </w:rPr>
              <w:t>ТАК / НІ / Н.З.</w:t>
            </w:r>
          </w:p>
        </w:tc>
      </w:tr>
      <w:tr w:rsidR="004111A3" w14:paraId="6F833AF2" w14:textId="77777777">
        <w:trPr>
          <w:gridAfter w:val="1"/>
          <w:wAfter w:w="7" w:type="dxa"/>
        </w:trPr>
        <w:tc>
          <w:tcPr>
            <w:tcW w:w="1091" w:type="dxa"/>
            <w:vMerge/>
          </w:tcPr>
          <w:p w14:paraId="6CD5CC1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6103112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4DB4EE3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3122810E" w14:textId="77777777" w:rsidR="004111A3" w:rsidRDefault="00A909B0">
            <w:pPr>
              <w:numPr>
                <w:ilvl w:val="0"/>
                <w:numId w:val="3"/>
              </w:numPr>
              <w:spacing w:before="120" w:after="120"/>
              <w:rPr>
                <w:rFonts w:ascii="Calibri" w:eastAsia="Calibri" w:hAnsi="Calibri" w:cs="Calibri"/>
                <w:color w:val="000000"/>
                <w:sz w:val="20"/>
                <w:szCs w:val="20"/>
              </w:rPr>
            </w:pPr>
            <w:r>
              <w:rPr>
                <w:sz w:val="20"/>
                <w:szCs w:val="20"/>
              </w:rPr>
              <w:t>Якщо такі є, витрати, задекларовані в особливих випадках (наприклад, для HE, HUMA: відпустка по догляду за дитиною), були розраховані правильно і відповідно до ст. 6.2.A.1 ГУ та відповідного розділу</w:t>
            </w:r>
            <w:r>
              <w:t xml:space="preserve"> </w:t>
            </w:r>
            <w:hyperlink r:id="rId14">
              <w:r>
                <w:rPr>
                  <w:color w:val="0088CC"/>
                  <w:sz w:val="20"/>
                  <w:szCs w:val="20"/>
                  <w:u w:val="single"/>
                </w:rPr>
                <w:t xml:space="preserve">AGA — </w:t>
              </w:r>
              <w:proofErr w:type="spellStart"/>
              <w:r>
                <w:rPr>
                  <w:color w:val="0088CC"/>
                  <w:sz w:val="20"/>
                  <w:szCs w:val="20"/>
                  <w:u w:val="single"/>
                </w:rPr>
                <w:t>Annotated</w:t>
              </w:r>
              <w:proofErr w:type="spellEnd"/>
              <w:r>
                <w:rPr>
                  <w:color w:val="0088CC"/>
                  <w:sz w:val="20"/>
                  <w:szCs w:val="20"/>
                  <w:u w:val="single"/>
                </w:rPr>
                <w:t xml:space="preserve"> </w:t>
              </w:r>
              <w:proofErr w:type="spellStart"/>
              <w:r>
                <w:rPr>
                  <w:color w:val="0088CC"/>
                  <w:sz w:val="20"/>
                  <w:szCs w:val="20"/>
                  <w:u w:val="single"/>
                </w:rPr>
                <w:t>Grant</w:t>
              </w:r>
              <w:proofErr w:type="spellEnd"/>
              <w:r>
                <w:rPr>
                  <w:color w:val="0088CC"/>
                  <w:sz w:val="20"/>
                  <w:szCs w:val="20"/>
                  <w:u w:val="single"/>
                </w:rPr>
                <w:t xml:space="preserve"> </w:t>
              </w:r>
              <w:proofErr w:type="spellStart"/>
              <w:r>
                <w:rPr>
                  <w:color w:val="0088CC"/>
                  <w:sz w:val="20"/>
                  <w:szCs w:val="20"/>
                  <w:u w:val="single"/>
                </w:rPr>
                <w:t>Agreement</w:t>
              </w:r>
              <w:proofErr w:type="spellEnd"/>
            </w:hyperlink>
            <w:r>
              <w:rPr>
                <w:color w:val="000000"/>
                <w:sz w:val="20"/>
                <w:szCs w:val="20"/>
              </w:rPr>
              <w:t>* .</w:t>
            </w:r>
          </w:p>
        </w:tc>
        <w:tc>
          <w:tcPr>
            <w:tcW w:w="1375" w:type="dxa"/>
            <w:shd w:val="clear" w:color="auto" w:fill="auto"/>
            <w:tcMar>
              <w:top w:w="0" w:type="dxa"/>
              <w:left w:w="108" w:type="dxa"/>
              <w:bottom w:w="0" w:type="dxa"/>
              <w:right w:w="108" w:type="dxa"/>
            </w:tcMar>
          </w:tcPr>
          <w:p w14:paraId="13BDB2DB" w14:textId="77777777" w:rsidR="004111A3" w:rsidRDefault="00A909B0">
            <w:pPr>
              <w:spacing w:before="120" w:after="120"/>
              <w:rPr>
                <w:color w:val="000000"/>
                <w:sz w:val="20"/>
                <w:szCs w:val="20"/>
              </w:rPr>
            </w:pPr>
            <w:r>
              <w:rPr>
                <w:color w:val="000000"/>
                <w:sz w:val="20"/>
                <w:szCs w:val="20"/>
              </w:rPr>
              <w:t>ТАК / НІ / Н.З.</w:t>
            </w:r>
          </w:p>
        </w:tc>
      </w:tr>
      <w:tr w:rsidR="004111A3" w14:paraId="3C1C0842" w14:textId="77777777">
        <w:trPr>
          <w:gridAfter w:val="1"/>
          <w:wAfter w:w="7" w:type="dxa"/>
        </w:trPr>
        <w:tc>
          <w:tcPr>
            <w:tcW w:w="1091" w:type="dxa"/>
            <w:vMerge/>
          </w:tcPr>
          <w:p w14:paraId="1879496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0000E4A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3D4FDEE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3C26819C"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Не було розбіжностей між витратами на персонал, віднесеними до діяльності, та витратами, перерахованими фахівцем відповідно до формули.</w:t>
            </w:r>
          </w:p>
        </w:tc>
        <w:tc>
          <w:tcPr>
            <w:tcW w:w="1375" w:type="dxa"/>
            <w:shd w:val="clear" w:color="auto" w:fill="auto"/>
            <w:tcMar>
              <w:top w:w="0" w:type="dxa"/>
              <w:left w:w="108" w:type="dxa"/>
              <w:bottom w:w="0" w:type="dxa"/>
              <w:right w:w="108" w:type="dxa"/>
            </w:tcMar>
          </w:tcPr>
          <w:p w14:paraId="2C470874" w14:textId="77777777" w:rsidR="004111A3" w:rsidRDefault="00A909B0">
            <w:pPr>
              <w:spacing w:before="120" w:after="120"/>
              <w:rPr>
                <w:sz w:val="20"/>
                <w:szCs w:val="20"/>
              </w:rPr>
            </w:pPr>
            <w:r>
              <w:rPr>
                <w:color w:val="000000"/>
                <w:sz w:val="20"/>
                <w:szCs w:val="20"/>
              </w:rPr>
              <w:t>ТАК / НІ / Н.З.</w:t>
            </w:r>
          </w:p>
        </w:tc>
      </w:tr>
      <w:tr w:rsidR="004111A3" w14:paraId="1708A379" w14:textId="77777777">
        <w:trPr>
          <w:gridAfter w:val="1"/>
          <w:wAfter w:w="7" w:type="dxa"/>
        </w:trPr>
        <w:tc>
          <w:tcPr>
            <w:tcW w:w="1091" w:type="dxa"/>
            <w:vMerge w:val="restart"/>
          </w:tcPr>
          <w:p w14:paraId="1A7595B5" w14:textId="77777777" w:rsidR="004111A3" w:rsidRDefault="004111A3">
            <w:pPr>
              <w:spacing w:before="120" w:after="120"/>
              <w:rPr>
                <w:b/>
                <w:color w:val="000000"/>
                <w:sz w:val="20"/>
                <w:szCs w:val="20"/>
              </w:rPr>
            </w:pPr>
          </w:p>
        </w:tc>
        <w:tc>
          <w:tcPr>
            <w:tcW w:w="1051" w:type="dxa"/>
            <w:vMerge w:val="restart"/>
          </w:tcPr>
          <w:p w14:paraId="2BFD1067" w14:textId="77777777" w:rsidR="004111A3" w:rsidRDefault="00A909B0">
            <w:pPr>
              <w:spacing w:before="120" w:after="120"/>
              <w:jc w:val="center"/>
              <w:rPr>
                <w:b/>
                <w:color w:val="000000"/>
                <w:sz w:val="20"/>
                <w:szCs w:val="20"/>
              </w:rPr>
            </w:pPr>
            <w:r>
              <w:rPr>
                <w:b/>
                <w:color w:val="000000"/>
                <w:sz w:val="20"/>
                <w:szCs w:val="20"/>
              </w:rPr>
              <w:t>A.1 Якщо винагорода на основі проекту (випадок 1B):</w:t>
            </w:r>
          </w:p>
          <w:p w14:paraId="266B1C7B" w14:textId="77777777" w:rsidR="004111A3" w:rsidRDefault="00A909B0">
            <w:pPr>
              <w:spacing w:before="120" w:after="120"/>
              <w:jc w:val="center"/>
              <w:rPr>
                <w:color w:val="5F497A"/>
                <w:sz w:val="20"/>
                <w:szCs w:val="20"/>
              </w:rPr>
            </w:pPr>
            <w:r>
              <w:rPr>
                <w:color w:val="5F497A"/>
                <w:sz w:val="20"/>
                <w:szCs w:val="20"/>
              </w:rPr>
              <w:t>(опція в HE)</w:t>
            </w:r>
          </w:p>
        </w:tc>
        <w:tc>
          <w:tcPr>
            <w:tcW w:w="6528" w:type="dxa"/>
            <w:vMerge w:val="restart"/>
            <w:shd w:val="clear" w:color="auto" w:fill="auto"/>
            <w:tcMar>
              <w:top w:w="0" w:type="dxa"/>
              <w:left w:w="108" w:type="dxa"/>
              <w:bottom w:w="0" w:type="dxa"/>
              <w:right w:w="108" w:type="dxa"/>
            </w:tcMar>
          </w:tcPr>
          <w:p w14:paraId="76306516" w14:textId="77777777" w:rsidR="004111A3" w:rsidRDefault="00A909B0">
            <w:pPr>
              <w:spacing w:before="120" w:after="120"/>
              <w:jc w:val="left"/>
              <w:rPr>
                <w:b/>
                <w:color w:val="000000"/>
                <w:sz w:val="20"/>
                <w:szCs w:val="20"/>
              </w:rPr>
            </w:pPr>
            <w:r>
              <w:rPr>
                <w:b/>
                <w:color w:val="000000"/>
                <w:sz w:val="20"/>
                <w:szCs w:val="20"/>
              </w:rPr>
              <w:t>Додаткові процедури, якщо виплачується "</w:t>
            </w:r>
            <w:r>
              <w:rPr>
                <w:b/>
                <w:color w:val="000000"/>
                <w:sz w:val="20"/>
                <w:szCs w:val="20"/>
                <w:u w:val="single"/>
              </w:rPr>
              <w:t>проектна винагорода</w:t>
            </w:r>
            <w:r>
              <w:rPr>
                <w:b/>
                <w:color w:val="000000"/>
                <w:sz w:val="20"/>
                <w:szCs w:val="20"/>
              </w:rPr>
              <w:t>":</w:t>
            </w:r>
          </w:p>
          <w:p w14:paraId="39A2E4FE" w14:textId="77777777" w:rsidR="004111A3" w:rsidRDefault="00A909B0">
            <w:pPr>
              <w:spacing w:before="120" w:after="120"/>
              <w:jc w:val="left"/>
              <w:rPr>
                <w:b/>
                <w:i/>
                <w:color w:val="000000"/>
                <w:sz w:val="20"/>
                <w:szCs w:val="20"/>
              </w:rPr>
            </w:pPr>
            <w:r>
              <w:rPr>
                <w:b/>
                <w:i/>
                <w:color w:val="000000"/>
                <w:sz w:val="20"/>
                <w:szCs w:val="20"/>
              </w:rPr>
              <w:t>Для осіб, включених до вибірки, чий рівень винагороди (денна ставка, погодинна ставка) зростає, коли і тому, що вони працюють у (європейських, національних або інших) проектах:</w:t>
            </w:r>
          </w:p>
          <w:p w14:paraId="3937C29C" w14:textId="77777777" w:rsidR="004111A3" w:rsidRDefault="00A909B0">
            <w:pPr>
              <w:spacing w:before="120" w:after="120"/>
              <w:jc w:val="left"/>
              <w:rPr>
                <w:i/>
                <w:color w:val="000000"/>
                <w:sz w:val="20"/>
                <w:szCs w:val="20"/>
              </w:rPr>
            </w:pPr>
            <w:r>
              <w:rPr>
                <w:i/>
                <w:color w:val="000000"/>
                <w:sz w:val="20"/>
                <w:szCs w:val="20"/>
              </w:rPr>
              <w:t>Крім виконання процедур, зазначених вище, фахівець повинен підтвердити стандартні висновки, наведені в наступній колонці:</w:t>
            </w:r>
          </w:p>
          <w:p w14:paraId="2B31A87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перевірені відповідні документи, надані учасником (трудовий договір або проектний контракт, колективний договір, звичайну політику учасника щодо винагороди, критерії, що використовуються для її розрахунку, звичайну практику учасника щодо винагороди для проектів, що фінансуються в рамках національних схем фінансування)</w:t>
            </w:r>
          </w:p>
          <w:p w14:paraId="2B180C1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перерахована денна ставка на одну особу за наступною формулою: {фактичні витрати на персонал для роботи над проектом (в </w:t>
            </w:r>
            <w:proofErr w:type="spellStart"/>
            <w:r>
              <w:rPr>
                <w:color w:val="000000"/>
                <w:sz w:val="20"/>
                <w:szCs w:val="20"/>
              </w:rPr>
              <w:t>т.ч</w:t>
            </w:r>
            <w:proofErr w:type="spellEnd"/>
            <w:r>
              <w:rPr>
                <w:color w:val="000000"/>
                <w:sz w:val="20"/>
                <w:szCs w:val="20"/>
              </w:rPr>
              <w:t xml:space="preserve">. доплати за проектом, премії, підвищена заробітна плата тощо) </w:t>
            </w:r>
            <w:r>
              <w:rPr>
                <w:color w:val="000000"/>
                <w:sz w:val="20"/>
                <w:szCs w:val="20"/>
              </w:rPr>
              <w:lastRenderedPageBreak/>
              <w:t>протягом місяців у звітному періоді} поділити на {еквівалент днів, відпрацьованих особою над проектом протягом місяців у звітному періоді}.</w:t>
            </w:r>
          </w:p>
          <w:p w14:paraId="54946655"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перерахована (теоретична) денна ставка національного проекту наступним чином: {теоретичні витрати на персонал для аналогічної роботи в національному проекті за ту саму кількість місяців, що й звітний період}, поділені на {максимальний декларований денний еквівалент}.</w:t>
            </w:r>
          </w:p>
          <w:p w14:paraId="5C26A98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порівняна денна ставка для заходів з денною ставкою для національного проекту; денна ставка, яка буде використовуватися для фінансового звіту за грантом ЄС, буде меншою з цих двох ставок</w:t>
            </w:r>
          </w:p>
          <w:p w14:paraId="5241F03D"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перевірені документи, що підтверджують виплату заробітної плати (перевірено щонайменше дві виплати заробітної плати на одну особу на рік).</w:t>
            </w:r>
          </w:p>
          <w:p w14:paraId="46AA3258" w14:textId="77777777" w:rsidR="004111A3" w:rsidRDefault="00A909B0">
            <w:pPr>
              <w:widowControl w:val="0"/>
              <w:spacing w:before="120" w:after="120"/>
              <w:ind w:right="67"/>
              <w:rPr>
                <w:color w:val="000000"/>
                <w:sz w:val="20"/>
                <w:szCs w:val="20"/>
              </w:rPr>
            </w:pPr>
            <w:r>
              <w:rPr>
                <w:color w:val="000000"/>
                <w:sz w:val="20"/>
                <w:szCs w:val="20"/>
              </w:rPr>
              <w:t>Максимально допустимі до декларування денні еквіваленти для кожного звітного періоду розраховуються наступним чином:</w:t>
            </w:r>
          </w:p>
          <w:p w14:paraId="0A5A402D" w14:textId="77777777" w:rsidR="004111A3" w:rsidRDefault="00A909B0">
            <w:pPr>
              <w:widowControl w:val="0"/>
              <w:spacing w:before="120" w:after="120"/>
              <w:ind w:left="181" w:right="67"/>
              <w:rPr>
                <w:color w:val="000000"/>
                <w:sz w:val="20"/>
                <w:szCs w:val="20"/>
              </w:rPr>
            </w:pPr>
            <w:r>
              <w:rPr>
                <w:color w:val="000000"/>
                <w:sz w:val="20"/>
                <w:szCs w:val="20"/>
              </w:rPr>
              <w:t xml:space="preserve"> (215 / 12) помножена на кількість місяців [протягом яких особа працює] у звітному періоді) помножена на коефіцієнт робочого часу [</w:t>
            </w:r>
            <w:r>
              <w:rPr>
                <w:i/>
                <w:color w:val="000000"/>
                <w:sz w:val="20"/>
                <w:szCs w:val="20"/>
              </w:rPr>
              <w:t xml:space="preserve">наприклад, 1 для повного робочого дня, 0,5 для 50% неповного робочого дня і </w:t>
            </w:r>
            <w:proofErr w:type="spellStart"/>
            <w:r>
              <w:rPr>
                <w:i/>
                <w:color w:val="000000"/>
                <w:sz w:val="20"/>
                <w:szCs w:val="20"/>
              </w:rPr>
              <w:t>т.д</w:t>
            </w:r>
            <w:proofErr w:type="spellEnd"/>
            <w:r>
              <w:rPr>
                <w:i/>
                <w:color w:val="000000"/>
                <w:sz w:val="20"/>
                <w:szCs w:val="20"/>
              </w:rPr>
              <w:t>.</w:t>
            </w:r>
            <w:r>
              <w:rPr>
                <w:color w:val="000000"/>
                <w:sz w:val="20"/>
                <w:szCs w:val="20"/>
              </w:rPr>
              <w:t>].</w:t>
            </w:r>
          </w:p>
          <w:p w14:paraId="435CA888" w14:textId="77777777" w:rsidR="004111A3" w:rsidRDefault="00A909B0">
            <w:pPr>
              <w:spacing w:before="120" w:after="120"/>
              <w:rPr>
                <w:sz w:val="20"/>
                <w:szCs w:val="20"/>
              </w:rPr>
            </w:pPr>
            <w:r>
              <w:rPr>
                <w:noProof/>
                <w:color w:val="0088CC"/>
                <w:sz w:val="22"/>
                <w:szCs w:val="22"/>
              </w:rPr>
              <w:drawing>
                <wp:inline distT="0" distB="0" distL="0" distR="0" wp14:anchorId="44B15A02" wp14:editId="62D6CE4C">
                  <wp:extent cx="148590" cy="148590"/>
                  <wp:effectExtent l="0" t="0" r="0" b="0"/>
                  <wp:docPr id="804632205" name="image1.png" descr="cid:image002.png@01D0B99B.7C10A740"/>
                  <wp:cNvGraphicFramePr/>
                  <a:graphic xmlns:a="http://schemas.openxmlformats.org/drawingml/2006/main">
                    <a:graphicData uri="http://schemas.openxmlformats.org/drawingml/2006/picture">
                      <pic:pic xmlns:pic="http://schemas.openxmlformats.org/drawingml/2006/picture">
                        <pic:nvPicPr>
                          <pic:cNvPr id="0" name="image1.png" descr="cid:image002.png@01D0B99B.7C10A740"/>
                          <pic:cNvPicPr preferRelativeResize="0"/>
                        </pic:nvPicPr>
                        <pic:blipFill>
                          <a:blip r:embed="rId15"/>
                          <a:srcRect/>
                          <a:stretch>
                            <a:fillRect/>
                          </a:stretch>
                        </pic:blipFill>
                        <pic:spPr>
                          <a:xfrm>
                            <a:off x="0" y="0"/>
                            <a:ext cx="148590" cy="148590"/>
                          </a:xfrm>
                          <a:prstGeom prst="rect">
                            <a:avLst/>
                          </a:prstGeom>
                          <a:ln/>
                        </pic:spPr>
                      </pic:pic>
                    </a:graphicData>
                  </a:graphic>
                </wp:inline>
              </w:drawing>
            </w:r>
            <w:r>
              <w:rPr>
                <w:color w:val="000000"/>
                <w:sz w:val="20"/>
                <w:szCs w:val="20"/>
              </w:rPr>
              <w:t xml:space="preserve"> </w:t>
            </w:r>
            <w:r>
              <w:rPr>
                <w:sz w:val="20"/>
                <w:szCs w:val="20"/>
              </w:rPr>
              <w:t>Якщо немає нормативних вимог і учасник не має внутрішніх правил, що визначають об'єктивні умови, за якими можна визначити добову ставку за національним проектом, але може продемонструвати, що його звичайною практикою є виплата премій за роботу в національних проектах, то добовою ставкою за національним проектом є середнє значення винагороди, яку особа отримала за останній повний рік (календарний, фінансовий або бюджетний рік) до закінчення звітного періоду за роботу в національних проектах, розраховане таким чином:</w:t>
            </w:r>
          </w:p>
          <w:p w14:paraId="54BA4D5C" w14:textId="77777777" w:rsidR="004111A3" w:rsidRDefault="00A909B0">
            <w:pPr>
              <w:spacing w:before="120" w:after="120"/>
              <w:ind w:left="181"/>
              <w:rPr>
                <w:sz w:val="20"/>
                <w:szCs w:val="20"/>
              </w:rPr>
            </w:pPr>
            <w:r>
              <w:rPr>
                <w:sz w:val="20"/>
                <w:szCs w:val="20"/>
              </w:rPr>
              <w:t>{(загальні витрати на персонал особи за останній повний рік) мінус (винагорода, виплачена за діяльність ЄС протягом цього повного року)}</w:t>
            </w:r>
          </w:p>
          <w:p w14:paraId="0A36A81A" w14:textId="77777777" w:rsidR="004111A3" w:rsidRDefault="00A909B0">
            <w:pPr>
              <w:spacing w:before="120" w:after="120"/>
              <w:ind w:left="181"/>
              <w:rPr>
                <w:sz w:val="20"/>
                <w:szCs w:val="20"/>
              </w:rPr>
            </w:pPr>
            <w:r>
              <w:rPr>
                <w:sz w:val="20"/>
                <w:szCs w:val="20"/>
              </w:rPr>
              <w:lastRenderedPageBreak/>
              <w:t>поділити на</w:t>
            </w:r>
          </w:p>
          <w:p w14:paraId="6DDBB393" w14:textId="77777777" w:rsidR="004111A3" w:rsidRDefault="00A909B0">
            <w:pPr>
              <w:spacing w:before="120" w:after="120"/>
              <w:ind w:left="181"/>
              <w:rPr>
                <w:sz w:val="20"/>
                <w:szCs w:val="20"/>
              </w:rPr>
            </w:pPr>
            <w:r>
              <w:rPr>
                <w:sz w:val="20"/>
                <w:szCs w:val="20"/>
              </w:rPr>
              <w:t>{215 мінус (днів, відпрацьованих у заходах ЄС протягом повного року)}</w:t>
            </w:r>
          </w:p>
          <w:p w14:paraId="20850F35" w14:textId="77777777" w:rsidR="004111A3" w:rsidRDefault="00A909B0">
            <w:pPr>
              <w:spacing w:before="120" w:after="120"/>
              <w:rPr>
                <w:sz w:val="20"/>
                <w:szCs w:val="20"/>
              </w:rPr>
            </w:pPr>
            <w:r>
              <w:rPr>
                <w:sz w:val="20"/>
                <w:szCs w:val="20"/>
              </w:rPr>
              <w:t>"Дії ЄС" - це "гранти ЄС", як вони визначені в Угоді про надання гранту (тобто гранти, надані установами, органами, офісами або агентствами ЄС, включаючи виконавчі органи ЄС, регуляторні органи ЄС, EDA, спільні підприємства).</w:t>
            </w:r>
          </w:p>
          <w:p w14:paraId="2BA52106" w14:textId="77777777" w:rsidR="004111A3" w:rsidRDefault="00A909B0">
            <w:pPr>
              <w:spacing w:before="120" w:after="120"/>
              <w:rPr>
                <w:sz w:val="20"/>
                <w:szCs w:val="20"/>
              </w:rPr>
            </w:pPr>
            <w:r>
              <w:rPr>
                <w:sz w:val="20"/>
                <w:szCs w:val="20"/>
              </w:rPr>
              <w:t>"Загальні витрати на персонал" охоплюють всі види контрактів з особою, які кваліфікуються як витрати на персонал відповідно до ст. 6.2.A.</w:t>
            </w:r>
          </w:p>
        </w:tc>
        <w:tc>
          <w:tcPr>
            <w:tcW w:w="4962" w:type="dxa"/>
            <w:gridSpan w:val="2"/>
            <w:shd w:val="clear" w:color="auto" w:fill="auto"/>
            <w:tcMar>
              <w:top w:w="0" w:type="dxa"/>
              <w:left w:w="108" w:type="dxa"/>
              <w:bottom w:w="0" w:type="dxa"/>
              <w:right w:w="108" w:type="dxa"/>
            </w:tcMar>
          </w:tcPr>
          <w:p w14:paraId="78F0A291"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lastRenderedPageBreak/>
              <w:t>Розмір виплаченої винагороди за проектом відповідав звичайній практиці оплати праці учасника і послідовно виплачувався щоразу, коли був потрібен той самий вид роботи або експертизи.</w:t>
            </w:r>
          </w:p>
        </w:tc>
        <w:tc>
          <w:tcPr>
            <w:tcW w:w="1375" w:type="dxa"/>
            <w:shd w:val="clear" w:color="auto" w:fill="auto"/>
            <w:tcMar>
              <w:top w:w="0" w:type="dxa"/>
              <w:left w:w="108" w:type="dxa"/>
              <w:bottom w:w="0" w:type="dxa"/>
              <w:right w:w="108" w:type="dxa"/>
            </w:tcMar>
          </w:tcPr>
          <w:p w14:paraId="42998824" w14:textId="77777777" w:rsidR="004111A3" w:rsidRDefault="00A909B0">
            <w:pPr>
              <w:spacing w:before="120" w:after="120"/>
              <w:rPr>
                <w:color w:val="000000"/>
                <w:sz w:val="20"/>
                <w:szCs w:val="20"/>
              </w:rPr>
            </w:pPr>
            <w:r>
              <w:rPr>
                <w:color w:val="000000"/>
                <w:sz w:val="20"/>
                <w:szCs w:val="20"/>
              </w:rPr>
              <w:t>ТАК / НІ / Н.З.</w:t>
            </w:r>
          </w:p>
        </w:tc>
      </w:tr>
      <w:tr w:rsidR="004111A3" w14:paraId="51A6BE17" w14:textId="77777777">
        <w:trPr>
          <w:gridAfter w:val="1"/>
          <w:wAfter w:w="7" w:type="dxa"/>
        </w:trPr>
        <w:tc>
          <w:tcPr>
            <w:tcW w:w="1091" w:type="dxa"/>
            <w:vMerge/>
          </w:tcPr>
          <w:p w14:paraId="41741CF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1E89136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0BBAACD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13866E95"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Критерії, що використовувалися для розрахунку проектної винагороди, були об'єктивними і загалом застосовувалися учасниками незалежно від джерела фінансування.</w:t>
            </w:r>
          </w:p>
        </w:tc>
        <w:tc>
          <w:tcPr>
            <w:tcW w:w="1375" w:type="dxa"/>
            <w:shd w:val="clear" w:color="auto" w:fill="auto"/>
            <w:tcMar>
              <w:top w:w="0" w:type="dxa"/>
              <w:left w:w="108" w:type="dxa"/>
              <w:bottom w:w="0" w:type="dxa"/>
              <w:right w:w="108" w:type="dxa"/>
            </w:tcMar>
          </w:tcPr>
          <w:p w14:paraId="274D0ADE" w14:textId="77777777" w:rsidR="004111A3" w:rsidRDefault="00A909B0">
            <w:pPr>
              <w:spacing w:before="120" w:after="120"/>
              <w:rPr>
                <w:color w:val="000000"/>
                <w:sz w:val="20"/>
                <w:szCs w:val="20"/>
              </w:rPr>
            </w:pPr>
            <w:r>
              <w:rPr>
                <w:color w:val="000000"/>
                <w:sz w:val="20"/>
                <w:szCs w:val="20"/>
              </w:rPr>
              <w:t>ТАК / НІ / Н.З.</w:t>
            </w:r>
          </w:p>
        </w:tc>
      </w:tr>
      <w:tr w:rsidR="004111A3" w14:paraId="5BDA5F82" w14:textId="77777777">
        <w:trPr>
          <w:gridAfter w:val="1"/>
          <w:wAfter w:w="7" w:type="dxa"/>
        </w:trPr>
        <w:tc>
          <w:tcPr>
            <w:tcW w:w="1091" w:type="dxa"/>
            <w:vMerge/>
          </w:tcPr>
          <w:p w14:paraId="04D7513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5353BB8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4E4D9F8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12EED3F2"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Денна ставка, яка використовується для фінансової звітності Гранту ЄС, є нижчою з денних ставок для заходів та денних ставок для національних проектів.</w:t>
            </w:r>
          </w:p>
        </w:tc>
        <w:tc>
          <w:tcPr>
            <w:tcW w:w="1375" w:type="dxa"/>
            <w:shd w:val="clear" w:color="auto" w:fill="auto"/>
            <w:tcMar>
              <w:top w:w="0" w:type="dxa"/>
              <w:left w:w="108" w:type="dxa"/>
              <w:bottom w:w="0" w:type="dxa"/>
              <w:right w:w="108" w:type="dxa"/>
            </w:tcMar>
          </w:tcPr>
          <w:p w14:paraId="6F4597B8" w14:textId="77777777" w:rsidR="004111A3" w:rsidRDefault="00A909B0">
            <w:pPr>
              <w:spacing w:before="120" w:after="120"/>
              <w:rPr>
                <w:color w:val="000000"/>
                <w:sz w:val="20"/>
                <w:szCs w:val="20"/>
              </w:rPr>
            </w:pPr>
            <w:r>
              <w:rPr>
                <w:color w:val="000000"/>
                <w:sz w:val="20"/>
                <w:szCs w:val="20"/>
              </w:rPr>
              <w:t>ТАК / НІ / Н.З.</w:t>
            </w:r>
          </w:p>
        </w:tc>
      </w:tr>
      <w:tr w:rsidR="004111A3" w14:paraId="274624F1" w14:textId="77777777">
        <w:trPr>
          <w:gridAfter w:val="1"/>
          <w:wAfter w:w="7" w:type="dxa"/>
        </w:trPr>
        <w:tc>
          <w:tcPr>
            <w:tcW w:w="1091" w:type="dxa"/>
            <w:vMerge w:val="restart"/>
          </w:tcPr>
          <w:p w14:paraId="638EED32" w14:textId="77777777" w:rsidR="004111A3" w:rsidRDefault="004111A3">
            <w:pPr>
              <w:spacing w:before="120" w:after="120"/>
              <w:jc w:val="center"/>
              <w:rPr>
                <w:b/>
                <w:color w:val="000000"/>
                <w:sz w:val="20"/>
                <w:szCs w:val="20"/>
              </w:rPr>
            </w:pPr>
          </w:p>
        </w:tc>
        <w:tc>
          <w:tcPr>
            <w:tcW w:w="1051" w:type="dxa"/>
            <w:vMerge w:val="restart"/>
          </w:tcPr>
          <w:p w14:paraId="7D2E7160" w14:textId="77777777" w:rsidR="004111A3" w:rsidRDefault="00A909B0">
            <w:pPr>
              <w:spacing w:before="120" w:after="120"/>
              <w:jc w:val="center"/>
              <w:rPr>
                <w:b/>
                <w:color w:val="000000"/>
                <w:sz w:val="20"/>
                <w:szCs w:val="20"/>
              </w:rPr>
            </w:pPr>
            <w:r>
              <w:rPr>
                <w:b/>
                <w:color w:val="000000"/>
                <w:sz w:val="20"/>
                <w:szCs w:val="20"/>
              </w:rPr>
              <w:t xml:space="preserve">A.1 Якщо середні витрати на персонал (витрати на одну особу, розраховані відповідно до звичайної практики обліку витрат) (випадок 2): </w:t>
            </w:r>
          </w:p>
          <w:p w14:paraId="79C06463" w14:textId="77777777" w:rsidR="004111A3" w:rsidRDefault="00A909B0">
            <w:pPr>
              <w:spacing w:before="120" w:after="120"/>
              <w:jc w:val="center"/>
              <w:rPr>
                <w:b/>
                <w:color w:val="000000"/>
                <w:sz w:val="20"/>
                <w:szCs w:val="20"/>
              </w:rPr>
            </w:pPr>
            <w:r>
              <w:rPr>
                <w:color w:val="7030A0"/>
                <w:sz w:val="20"/>
                <w:szCs w:val="20"/>
              </w:rPr>
              <w:t>(опція в HE, DEP, EDF, CEF, HUMA)</w:t>
            </w:r>
          </w:p>
        </w:tc>
        <w:tc>
          <w:tcPr>
            <w:tcW w:w="6528" w:type="dxa"/>
            <w:vMerge w:val="restart"/>
            <w:shd w:val="clear" w:color="auto" w:fill="auto"/>
            <w:tcMar>
              <w:top w:w="0" w:type="dxa"/>
              <w:left w:w="108" w:type="dxa"/>
              <w:bottom w:w="0" w:type="dxa"/>
              <w:right w:w="108" w:type="dxa"/>
            </w:tcMar>
          </w:tcPr>
          <w:p w14:paraId="64D8152F" w14:textId="77777777" w:rsidR="004111A3" w:rsidRDefault="00A909B0">
            <w:pPr>
              <w:spacing w:before="120" w:after="120"/>
              <w:jc w:val="left"/>
              <w:rPr>
                <w:b/>
                <w:color w:val="000000"/>
                <w:sz w:val="20"/>
                <w:szCs w:val="20"/>
              </w:rPr>
            </w:pPr>
            <w:r>
              <w:rPr>
                <w:b/>
                <w:color w:val="000000"/>
                <w:sz w:val="20"/>
                <w:szCs w:val="20"/>
              </w:rPr>
              <w:t>Додаткові процедури у випадку використання "</w:t>
            </w:r>
            <w:r>
              <w:rPr>
                <w:b/>
                <w:color w:val="000000"/>
                <w:sz w:val="20"/>
                <w:szCs w:val="20"/>
                <w:u w:val="single"/>
              </w:rPr>
              <w:t>середніх витрат на персонал"</w:t>
            </w:r>
            <w:r>
              <w:rPr>
                <w:b/>
                <w:color w:val="000000"/>
                <w:sz w:val="20"/>
                <w:szCs w:val="20"/>
              </w:rPr>
              <w:t>:</w:t>
            </w:r>
          </w:p>
          <w:p w14:paraId="50B1A994" w14:textId="77777777" w:rsidR="004111A3" w:rsidRDefault="00A909B0">
            <w:pPr>
              <w:spacing w:before="120" w:after="120"/>
              <w:jc w:val="left"/>
              <w:rPr>
                <w:b/>
                <w:i/>
                <w:color w:val="000000"/>
                <w:sz w:val="20"/>
                <w:szCs w:val="20"/>
              </w:rPr>
            </w:pPr>
            <w:r>
              <w:rPr>
                <w:b/>
                <w:i/>
                <w:color w:val="000000"/>
                <w:sz w:val="20"/>
                <w:szCs w:val="20"/>
              </w:rPr>
              <w:t>Для осіб, включених до вибірки:</w:t>
            </w:r>
          </w:p>
          <w:p w14:paraId="4AC3761F" w14:textId="77777777" w:rsidR="004111A3" w:rsidRDefault="00A909B0">
            <w:pPr>
              <w:spacing w:before="120" w:after="120"/>
              <w:jc w:val="left"/>
              <w:rPr>
                <w:color w:val="000000"/>
                <w:sz w:val="20"/>
                <w:szCs w:val="20"/>
              </w:rPr>
            </w:pPr>
            <w:r>
              <w:rPr>
                <w:color w:val="000000"/>
                <w:sz w:val="20"/>
                <w:szCs w:val="20"/>
              </w:rPr>
              <w:t>Окрім виконання процедур, зазначених вище, фахівець виконував наступні процедури для підтвердження стандартних висновків, наведених у наступній колонці:</w:t>
            </w:r>
          </w:p>
          <w:p w14:paraId="4797578E"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отримав опис звичайної практики обліку витрат учасника для розрахунку собівартості одиниці продукції</w:t>
            </w:r>
          </w:p>
          <w:p w14:paraId="1406C9B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перевірив, чи застосовувалася звичайна практика обліку витрат учасника для фінансової звітності, що є предметом цього CFS</w:t>
            </w:r>
          </w:p>
          <w:p w14:paraId="63743C6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перевірив правильність віднесення працівників, включених до вибірки, до відповідної категорії (відповідно до критеріїв, що використовуються учасником для встановлення категорій персоналу), переглянувши контракт/запис у трудовій книжці або аналітичні облікові записи</w:t>
            </w:r>
          </w:p>
          <w:p w14:paraId="7D3D2E1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перевірив відсутність різниці між загальною сумою витрат на персонал, використаною при розрахунку собівартості одиниці продукції, та загальною сумою витрат на персонал, відображеною в бухгалтерському обліку за національними стандартами</w:t>
            </w:r>
          </w:p>
          <w:p w14:paraId="2F1E859F"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lastRenderedPageBreak/>
              <w:t>перевірив документи, що підтверджують виплату заробітної плати (перевірили щонайменше дві виплати заробітної плати на одну особу на рік)</w:t>
            </w:r>
          </w:p>
          <w:p w14:paraId="40F8E71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перевірив , чи були фактичні витрати на персонал скориговані на основі бюджетних або кошторисних елементів, і якщо так, то чи були використані ці елементи дійсно релевантними для розрахунку, об'єктивними та підтвердженими документально.</w:t>
            </w:r>
          </w:p>
        </w:tc>
        <w:tc>
          <w:tcPr>
            <w:tcW w:w="4962" w:type="dxa"/>
            <w:gridSpan w:val="2"/>
            <w:shd w:val="clear" w:color="auto" w:fill="auto"/>
            <w:tcMar>
              <w:top w:w="0" w:type="dxa"/>
              <w:left w:w="108" w:type="dxa"/>
              <w:bottom w:w="0" w:type="dxa"/>
              <w:right w:w="108" w:type="dxa"/>
            </w:tcMar>
            <w:vAlign w:val="center"/>
          </w:tcPr>
          <w:p w14:paraId="27C5943A"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lastRenderedPageBreak/>
              <w:t>Витрати на персонал, включені до фінансового звіту, були розраховані відповідно до звичайної практики обліку витрат учасника, з використанням фактичних витрат на персонал, зафіксованих на рахунках учасника, за винятком неприйнятних витрат або витрат, вже включених до інших бюджетних категорій, і застосовувалися послідовно, на основі об'єктивних критеріїв, незалежно від джерела фінансування.</w:t>
            </w:r>
          </w:p>
        </w:tc>
        <w:tc>
          <w:tcPr>
            <w:tcW w:w="1375" w:type="dxa"/>
            <w:shd w:val="clear" w:color="auto" w:fill="auto"/>
            <w:tcMar>
              <w:top w:w="0" w:type="dxa"/>
              <w:left w:w="108" w:type="dxa"/>
              <w:bottom w:w="0" w:type="dxa"/>
              <w:right w:w="108" w:type="dxa"/>
            </w:tcMar>
          </w:tcPr>
          <w:p w14:paraId="61D4441E" w14:textId="77777777" w:rsidR="004111A3" w:rsidRDefault="00A909B0">
            <w:pPr>
              <w:spacing w:before="120" w:after="120"/>
              <w:rPr>
                <w:color w:val="000000"/>
                <w:sz w:val="20"/>
                <w:szCs w:val="20"/>
              </w:rPr>
            </w:pPr>
            <w:r>
              <w:rPr>
                <w:color w:val="000000"/>
                <w:sz w:val="20"/>
                <w:szCs w:val="20"/>
              </w:rPr>
              <w:t>ТАК / НІ / Н.З.</w:t>
            </w:r>
          </w:p>
        </w:tc>
      </w:tr>
      <w:tr w:rsidR="004111A3" w14:paraId="71634897" w14:textId="77777777">
        <w:trPr>
          <w:gridAfter w:val="1"/>
          <w:wAfter w:w="7" w:type="dxa"/>
        </w:trPr>
        <w:tc>
          <w:tcPr>
            <w:tcW w:w="1091" w:type="dxa"/>
            <w:vMerge/>
          </w:tcPr>
          <w:p w14:paraId="4903F68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3816B0F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598F54C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6AB47C2F"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Працівникам було нараховано заробітну плату за правильною категорією.</w:t>
            </w:r>
          </w:p>
        </w:tc>
        <w:tc>
          <w:tcPr>
            <w:tcW w:w="1375" w:type="dxa"/>
            <w:shd w:val="clear" w:color="auto" w:fill="auto"/>
            <w:tcMar>
              <w:top w:w="0" w:type="dxa"/>
              <w:left w:w="108" w:type="dxa"/>
              <w:bottom w:w="0" w:type="dxa"/>
              <w:right w:w="108" w:type="dxa"/>
            </w:tcMar>
          </w:tcPr>
          <w:p w14:paraId="290CF6C2" w14:textId="77777777" w:rsidR="004111A3" w:rsidRDefault="00A909B0">
            <w:pPr>
              <w:spacing w:before="120" w:after="120"/>
              <w:rPr>
                <w:color w:val="000000"/>
                <w:sz w:val="20"/>
                <w:szCs w:val="20"/>
              </w:rPr>
            </w:pPr>
            <w:r>
              <w:rPr>
                <w:color w:val="000000"/>
                <w:sz w:val="20"/>
                <w:szCs w:val="20"/>
              </w:rPr>
              <w:t>ТАК / НІ / Н.З.</w:t>
            </w:r>
          </w:p>
        </w:tc>
      </w:tr>
      <w:tr w:rsidR="004111A3" w14:paraId="0ABFADFA" w14:textId="77777777">
        <w:trPr>
          <w:gridAfter w:val="1"/>
          <w:wAfter w:w="7" w:type="dxa"/>
        </w:trPr>
        <w:tc>
          <w:tcPr>
            <w:tcW w:w="1091" w:type="dxa"/>
            <w:vMerge/>
          </w:tcPr>
          <w:p w14:paraId="08E4BA1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49C3301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6017A26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vAlign w:val="center"/>
          </w:tcPr>
          <w:p w14:paraId="05BDA23C"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Загальні витрати на персонал, використані для розрахунку собівартості за одиницю, відповідали витратам, зафіксованим у бухгалтерських звітах, і не включали будь-які неприйнятні витрати або витрати, включені до інших бюджетних категорій.</w:t>
            </w:r>
          </w:p>
        </w:tc>
        <w:tc>
          <w:tcPr>
            <w:tcW w:w="1375" w:type="dxa"/>
            <w:shd w:val="clear" w:color="auto" w:fill="auto"/>
            <w:tcMar>
              <w:top w:w="0" w:type="dxa"/>
              <w:left w:w="108" w:type="dxa"/>
              <w:bottom w:w="0" w:type="dxa"/>
              <w:right w:w="108" w:type="dxa"/>
            </w:tcMar>
          </w:tcPr>
          <w:p w14:paraId="57058B59" w14:textId="77777777" w:rsidR="004111A3" w:rsidRDefault="00A909B0">
            <w:pPr>
              <w:spacing w:before="120" w:after="120"/>
              <w:rPr>
                <w:color w:val="000000"/>
                <w:sz w:val="20"/>
                <w:szCs w:val="20"/>
              </w:rPr>
            </w:pPr>
            <w:r>
              <w:rPr>
                <w:color w:val="000000"/>
                <w:sz w:val="20"/>
                <w:szCs w:val="20"/>
              </w:rPr>
              <w:t>ТАК / НІ / Н.З.</w:t>
            </w:r>
          </w:p>
        </w:tc>
      </w:tr>
      <w:tr w:rsidR="004111A3" w14:paraId="49019B2A" w14:textId="77777777">
        <w:trPr>
          <w:gridAfter w:val="1"/>
          <w:wAfter w:w="7" w:type="dxa"/>
        </w:trPr>
        <w:tc>
          <w:tcPr>
            <w:tcW w:w="1091" w:type="dxa"/>
            <w:vMerge/>
          </w:tcPr>
          <w:p w14:paraId="7681FEB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7415F42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0945044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37C26FAA"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 xml:space="preserve">Будь-який кошторисний або бюджетний елемент, використаний учасником у розрахунку собівартості, був релевантним для розрахунку витрат на персонал, використовувався обґрунтовано (тобто не відіграє основної ролі в </w:t>
            </w:r>
            <w:r>
              <w:rPr>
                <w:color w:val="000000"/>
                <w:sz w:val="20"/>
                <w:szCs w:val="20"/>
              </w:rPr>
              <w:lastRenderedPageBreak/>
              <w:t>розрахунку погодинної ставки) та відповідав об'єктивній інформації, яку можна перевірити. Якщо бюджетні або кошторисні показники становлять менше 5% від задекларованої собівартості, вважається, що вони не відіграють суттєвої ролі і можуть бути прийняті. Якщо бюджетна або кошторисна складова перевищує 5%, то її необхідно порівняти з фактичними витратами.</w:t>
            </w:r>
          </w:p>
        </w:tc>
        <w:tc>
          <w:tcPr>
            <w:tcW w:w="1375" w:type="dxa"/>
            <w:shd w:val="clear" w:color="auto" w:fill="auto"/>
            <w:tcMar>
              <w:top w:w="0" w:type="dxa"/>
              <w:left w:w="108" w:type="dxa"/>
              <w:bottom w:w="0" w:type="dxa"/>
              <w:right w:w="108" w:type="dxa"/>
            </w:tcMar>
          </w:tcPr>
          <w:p w14:paraId="39428BFF" w14:textId="77777777" w:rsidR="004111A3" w:rsidRDefault="00A909B0">
            <w:pPr>
              <w:spacing w:before="120" w:after="120"/>
              <w:rPr>
                <w:color w:val="000000"/>
                <w:sz w:val="20"/>
                <w:szCs w:val="20"/>
              </w:rPr>
            </w:pPr>
            <w:r>
              <w:rPr>
                <w:color w:val="000000"/>
                <w:sz w:val="20"/>
                <w:szCs w:val="20"/>
              </w:rPr>
              <w:lastRenderedPageBreak/>
              <w:t>ТАК / НІ / Н.З.</w:t>
            </w:r>
          </w:p>
        </w:tc>
      </w:tr>
      <w:tr w:rsidR="004111A3" w14:paraId="0197C4DE" w14:textId="77777777">
        <w:trPr>
          <w:gridAfter w:val="1"/>
          <w:wAfter w:w="7" w:type="dxa"/>
        </w:trPr>
        <w:tc>
          <w:tcPr>
            <w:tcW w:w="1091" w:type="dxa"/>
            <w:shd w:val="clear" w:color="auto" w:fill="EBF1DD"/>
          </w:tcPr>
          <w:p w14:paraId="5DAA78D1" w14:textId="77777777" w:rsidR="004111A3" w:rsidRDefault="00A909B0">
            <w:pPr>
              <w:spacing w:before="120" w:after="120"/>
              <w:jc w:val="center"/>
              <w:rPr>
                <w:b/>
                <w:color w:val="000000"/>
                <w:sz w:val="20"/>
                <w:szCs w:val="20"/>
              </w:rPr>
            </w:pPr>
            <w:r>
              <w:rPr>
                <w:b/>
                <w:color w:val="000000"/>
                <w:sz w:val="20"/>
                <w:szCs w:val="20"/>
              </w:rPr>
              <w:t>Стаття 6.2.A.2.</w:t>
            </w:r>
          </w:p>
        </w:tc>
        <w:tc>
          <w:tcPr>
            <w:tcW w:w="1051" w:type="dxa"/>
            <w:shd w:val="clear" w:color="auto" w:fill="EBF1DD"/>
            <w:vAlign w:val="center"/>
          </w:tcPr>
          <w:p w14:paraId="6FE9CC9B" w14:textId="77777777" w:rsidR="004111A3" w:rsidRDefault="00A909B0">
            <w:pPr>
              <w:spacing w:before="120" w:after="120"/>
              <w:jc w:val="center"/>
              <w:rPr>
                <w:b/>
                <w:color w:val="000000"/>
                <w:sz w:val="20"/>
                <w:szCs w:val="20"/>
              </w:rPr>
            </w:pPr>
            <w:r>
              <w:rPr>
                <w:b/>
                <w:color w:val="000000"/>
                <w:sz w:val="20"/>
                <w:szCs w:val="20"/>
              </w:rPr>
              <w:t>A.2</w:t>
            </w:r>
          </w:p>
        </w:tc>
        <w:tc>
          <w:tcPr>
            <w:tcW w:w="12865" w:type="dxa"/>
            <w:gridSpan w:val="4"/>
            <w:shd w:val="clear" w:color="auto" w:fill="EBF1DD"/>
            <w:tcMar>
              <w:top w:w="0" w:type="dxa"/>
              <w:left w:w="108" w:type="dxa"/>
              <w:bottom w:w="0" w:type="dxa"/>
              <w:right w:w="108" w:type="dxa"/>
            </w:tcMar>
            <w:vAlign w:val="center"/>
          </w:tcPr>
          <w:p w14:paraId="775B389D" w14:textId="77777777" w:rsidR="004111A3" w:rsidRDefault="00A909B0">
            <w:pPr>
              <w:spacing w:before="120" w:after="120"/>
              <w:jc w:val="left"/>
              <w:rPr>
                <w:color w:val="000000"/>
                <w:sz w:val="20"/>
                <w:szCs w:val="20"/>
              </w:rPr>
            </w:pPr>
            <w:r>
              <w:rPr>
                <w:b/>
                <w:color w:val="000000"/>
                <w:sz w:val="20"/>
                <w:szCs w:val="20"/>
              </w:rPr>
              <w:t xml:space="preserve">ФІЗИЧНІ ОСОБИ З ПРЯМИМ ДОГОВОРОМ </w:t>
            </w:r>
            <w:r>
              <w:rPr>
                <w:color w:val="000000"/>
                <w:sz w:val="20"/>
                <w:szCs w:val="20"/>
                <w:vertAlign w:val="superscript"/>
              </w:rPr>
              <w:footnoteReference w:id="1"/>
            </w:r>
            <w:r>
              <w:rPr>
                <w:b/>
                <w:color w:val="000000"/>
                <w:sz w:val="20"/>
                <w:szCs w:val="20"/>
              </w:rPr>
              <w:t xml:space="preserve"> </w:t>
            </w:r>
          </w:p>
        </w:tc>
      </w:tr>
      <w:tr w:rsidR="004111A3" w14:paraId="4387CBE7" w14:textId="77777777">
        <w:trPr>
          <w:gridAfter w:val="1"/>
          <w:wAfter w:w="7" w:type="dxa"/>
        </w:trPr>
        <w:tc>
          <w:tcPr>
            <w:tcW w:w="1091" w:type="dxa"/>
            <w:vMerge w:val="restart"/>
          </w:tcPr>
          <w:p w14:paraId="3668266E" w14:textId="77777777" w:rsidR="004111A3" w:rsidRDefault="00A909B0">
            <w:pPr>
              <w:spacing w:before="120" w:after="120"/>
              <w:jc w:val="center"/>
              <w:rPr>
                <w:b/>
                <w:color w:val="000000"/>
                <w:sz w:val="20"/>
                <w:szCs w:val="20"/>
              </w:rPr>
            </w:pPr>
            <w:r>
              <w:rPr>
                <w:b/>
                <w:color w:val="000000"/>
                <w:sz w:val="20"/>
                <w:szCs w:val="20"/>
              </w:rPr>
              <w:t>Стаття 6.2.A.2</w:t>
            </w:r>
          </w:p>
        </w:tc>
        <w:tc>
          <w:tcPr>
            <w:tcW w:w="1051" w:type="dxa"/>
            <w:vMerge w:val="restart"/>
          </w:tcPr>
          <w:p w14:paraId="54972320" w14:textId="77777777" w:rsidR="004111A3" w:rsidRDefault="00A909B0">
            <w:pPr>
              <w:spacing w:before="120" w:after="120"/>
              <w:jc w:val="center"/>
              <w:rPr>
                <w:b/>
                <w:color w:val="000000"/>
                <w:sz w:val="20"/>
                <w:szCs w:val="20"/>
              </w:rPr>
            </w:pPr>
            <w:r>
              <w:rPr>
                <w:b/>
                <w:color w:val="000000"/>
                <w:sz w:val="20"/>
                <w:szCs w:val="20"/>
              </w:rPr>
              <w:t xml:space="preserve">A2. </w:t>
            </w:r>
          </w:p>
          <w:p w14:paraId="452B6DC6" w14:textId="77777777" w:rsidR="004111A3" w:rsidRDefault="00A909B0">
            <w:pPr>
              <w:spacing w:before="120" w:after="120"/>
              <w:jc w:val="center"/>
              <w:rPr>
                <w:b/>
                <w:color w:val="000000"/>
                <w:sz w:val="20"/>
                <w:szCs w:val="20"/>
              </w:rPr>
            </w:pPr>
            <w:r>
              <w:rPr>
                <w:b/>
                <w:color w:val="000000"/>
                <w:sz w:val="20"/>
                <w:szCs w:val="20"/>
              </w:rPr>
              <w:t>ФІЗИЧНІ ОСОБИ З ПРЯМИМ ДОГОВОРОМ</w:t>
            </w:r>
          </w:p>
        </w:tc>
        <w:tc>
          <w:tcPr>
            <w:tcW w:w="6528" w:type="dxa"/>
            <w:vMerge w:val="restart"/>
            <w:shd w:val="clear" w:color="auto" w:fill="auto"/>
            <w:tcMar>
              <w:top w:w="0" w:type="dxa"/>
              <w:left w:w="108" w:type="dxa"/>
              <w:bottom w:w="0" w:type="dxa"/>
              <w:right w:w="108" w:type="dxa"/>
            </w:tcMar>
          </w:tcPr>
          <w:p w14:paraId="2E1F1508" w14:textId="77777777" w:rsidR="004111A3" w:rsidRDefault="00A909B0">
            <w:pPr>
              <w:spacing w:before="120" w:after="120"/>
              <w:jc w:val="left"/>
              <w:rPr>
                <w:b/>
                <w:i/>
                <w:color w:val="000000"/>
                <w:sz w:val="20"/>
                <w:szCs w:val="20"/>
              </w:rPr>
            </w:pPr>
            <w:r>
              <w:rPr>
                <w:b/>
                <w:i/>
                <w:color w:val="000000"/>
                <w:sz w:val="20"/>
                <w:szCs w:val="20"/>
              </w:rPr>
              <w:t>Для фізичних осіб, включених до вибірки, які працюють з учасником за прямим договором, відмінним від трудового договору, наприклад, консультанти (не субпідрядники):</w:t>
            </w:r>
          </w:p>
          <w:p w14:paraId="79768E0C" w14:textId="77777777" w:rsidR="004111A3" w:rsidRDefault="00A909B0">
            <w:pPr>
              <w:spacing w:before="120" w:after="120"/>
              <w:jc w:val="left"/>
              <w:rPr>
                <w:color w:val="000000"/>
                <w:sz w:val="20"/>
                <w:szCs w:val="20"/>
              </w:rPr>
            </w:pPr>
            <w:r>
              <w:rPr>
                <w:color w:val="000000"/>
                <w:sz w:val="20"/>
                <w:szCs w:val="20"/>
              </w:rPr>
              <w:t>Спеціаліст здійснив загальну перевірку прийнятності та неприйнятності витрат (див. вище).</w:t>
            </w:r>
          </w:p>
          <w:p w14:paraId="543460C3" w14:textId="77777777" w:rsidR="004111A3" w:rsidRDefault="00A909B0">
            <w:pPr>
              <w:spacing w:before="120" w:after="120"/>
              <w:jc w:val="left"/>
              <w:rPr>
                <w:color w:val="000000"/>
                <w:sz w:val="20"/>
                <w:szCs w:val="20"/>
              </w:rPr>
            </w:pPr>
            <w:r>
              <w:rPr>
                <w:color w:val="000000"/>
                <w:sz w:val="20"/>
                <w:szCs w:val="20"/>
              </w:rPr>
              <w:t>Щоб підтвердити стандартні висновки в наступній колонці, фахівець перевірив наступну інформацію/документи, надані учасником:</w:t>
            </w:r>
          </w:p>
          <w:p w14:paraId="78710329"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контракти, особливо вартість, тривалість контракту, опис робіт, місце виконання робіт, право власності на результати та зобов'язання щодо звітування перед учасником</w:t>
            </w:r>
          </w:p>
          <w:p w14:paraId="2293326F"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умови працевлаштування персоналу тієї ж категорії для порівняння витрат</w:t>
            </w:r>
          </w:p>
          <w:p w14:paraId="04028D97"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щомісячні декларації/інші достовірні записи часу фізичних осіб, включених до вибірки, та</w:t>
            </w:r>
          </w:p>
          <w:p w14:paraId="70FE9559" w14:textId="77777777" w:rsidR="004111A3" w:rsidRDefault="00A909B0">
            <w:pPr>
              <w:numPr>
                <w:ilvl w:val="0"/>
                <w:numId w:val="2"/>
              </w:numPr>
              <w:spacing w:before="120" w:after="120"/>
              <w:ind w:left="504" w:hanging="330"/>
              <w:jc w:val="left"/>
              <w:rPr>
                <w:i/>
                <w:color w:val="000000"/>
                <w:sz w:val="20"/>
                <w:szCs w:val="20"/>
              </w:rPr>
            </w:pPr>
            <w:r>
              <w:rPr>
                <w:color w:val="000000"/>
                <w:sz w:val="20"/>
                <w:szCs w:val="20"/>
              </w:rPr>
              <w:lastRenderedPageBreak/>
              <w:t>будь-який інший документ, що підтверджує задекларовані витрати та їх реєстрацію (</w:t>
            </w:r>
            <w:r>
              <w:rPr>
                <w:i/>
                <w:color w:val="000000"/>
                <w:sz w:val="20"/>
                <w:szCs w:val="20"/>
              </w:rPr>
              <w:t>наприклад, рахунки-фактури, бухгалтерські записи, підтвердження оплати тощо</w:t>
            </w:r>
            <w:r>
              <w:rPr>
                <w:color w:val="000000"/>
                <w:sz w:val="20"/>
                <w:szCs w:val="20"/>
              </w:rPr>
              <w:t>).</w:t>
            </w:r>
          </w:p>
        </w:tc>
        <w:tc>
          <w:tcPr>
            <w:tcW w:w="4953" w:type="dxa"/>
            <w:shd w:val="clear" w:color="auto" w:fill="auto"/>
            <w:tcMar>
              <w:top w:w="0" w:type="dxa"/>
              <w:left w:w="108" w:type="dxa"/>
              <w:bottom w:w="0" w:type="dxa"/>
              <w:right w:w="108" w:type="dxa"/>
            </w:tcMar>
          </w:tcPr>
          <w:p w14:paraId="71B459B6" w14:textId="77777777" w:rsidR="004111A3" w:rsidRDefault="00A909B0">
            <w:pPr>
              <w:numPr>
                <w:ilvl w:val="0"/>
                <w:numId w:val="3"/>
              </w:numPr>
              <w:spacing w:before="120" w:after="120"/>
              <w:jc w:val="left"/>
              <w:rPr>
                <w:color w:val="000000"/>
                <w:sz w:val="20"/>
                <w:szCs w:val="20"/>
              </w:rPr>
            </w:pPr>
            <w:r>
              <w:rPr>
                <w:color w:val="000000"/>
                <w:sz w:val="20"/>
                <w:szCs w:val="20"/>
              </w:rPr>
              <w:lastRenderedPageBreak/>
              <w:t>Витрати були прийнятними (без неприйнятних компонентів), ідентифікованими та перевіреними, пов'язаними з діяльністю та понесеними учасником (підтвердження оплати, відсутність повторного виставлення рахунків іншим організаціям) протягом тривалості діяльності відповідно до його звичайної практики обліку витрат.</w:t>
            </w:r>
          </w:p>
        </w:tc>
        <w:tc>
          <w:tcPr>
            <w:tcW w:w="1384" w:type="dxa"/>
            <w:gridSpan w:val="2"/>
            <w:shd w:val="clear" w:color="auto" w:fill="auto"/>
            <w:tcMar>
              <w:top w:w="0" w:type="dxa"/>
              <w:left w:w="108" w:type="dxa"/>
              <w:bottom w:w="0" w:type="dxa"/>
              <w:right w:w="108" w:type="dxa"/>
            </w:tcMar>
          </w:tcPr>
          <w:p w14:paraId="2EE287FD" w14:textId="77777777" w:rsidR="004111A3" w:rsidRDefault="00A909B0">
            <w:pPr>
              <w:spacing w:before="120" w:after="120"/>
              <w:rPr>
                <w:color w:val="000000"/>
                <w:sz w:val="20"/>
                <w:szCs w:val="20"/>
              </w:rPr>
            </w:pPr>
            <w:r>
              <w:rPr>
                <w:color w:val="000000"/>
                <w:sz w:val="20"/>
                <w:szCs w:val="20"/>
              </w:rPr>
              <w:t>ТАК / НІ / Н.З.</w:t>
            </w:r>
          </w:p>
        </w:tc>
      </w:tr>
      <w:tr w:rsidR="004111A3" w14:paraId="40BDB320" w14:textId="77777777">
        <w:trPr>
          <w:gridAfter w:val="1"/>
          <w:wAfter w:w="7" w:type="dxa"/>
        </w:trPr>
        <w:tc>
          <w:tcPr>
            <w:tcW w:w="1091" w:type="dxa"/>
            <w:vMerge/>
          </w:tcPr>
          <w:p w14:paraId="4BA6325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41E5E9C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2C465DA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2283616E" w14:textId="77777777" w:rsidR="004111A3" w:rsidRDefault="00A909B0">
            <w:pPr>
              <w:numPr>
                <w:ilvl w:val="0"/>
                <w:numId w:val="3"/>
              </w:numPr>
              <w:spacing w:before="120" w:after="120"/>
              <w:jc w:val="left"/>
              <w:rPr>
                <w:color w:val="000000"/>
                <w:sz w:val="20"/>
                <w:szCs w:val="20"/>
              </w:rPr>
            </w:pPr>
            <w:r>
              <w:rPr>
                <w:color w:val="000000"/>
                <w:sz w:val="20"/>
                <w:szCs w:val="20"/>
              </w:rPr>
              <w:t xml:space="preserve">Особи працювали на учасника як </w:t>
            </w:r>
            <w:proofErr w:type="spellStart"/>
            <w:r>
              <w:rPr>
                <w:color w:val="000000"/>
                <w:sz w:val="20"/>
                <w:szCs w:val="20"/>
              </w:rPr>
              <w:t>самозайняті</w:t>
            </w:r>
            <w:proofErr w:type="spellEnd"/>
            <w:r>
              <w:rPr>
                <w:color w:val="000000"/>
                <w:sz w:val="20"/>
                <w:szCs w:val="20"/>
              </w:rPr>
              <w:t xml:space="preserve"> фізичні особи (наприклад, деякі види штатних консультантів) за прямим контрактом або контрактом, підписаним між учасником та юридичною особою, яка повністю належить цій особі (без інших найманих працівників).</w:t>
            </w:r>
          </w:p>
        </w:tc>
        <w:tc>
          <w:tcPr>
            <w:tcW w:w="1384" w:type="dxa"/>
            <w:gridSpan w:val="2"/>
            <w:shd w:val="clear" w:color="auto" w:fill="auto"/>
            <w:tcMar>
              <w:top w:w="0" w:type="dxa"/>
              <w:left w:w="108" w:type="dxa"/>
              <w:bottom w:w="0" w:type="dxa"/>
              <w:right w:w="108" w:type="dxa"/>
            </w:tcMar>
          </w:tcPr>
          <w:p w14:paraId="253D6E50" w14:textId="77777777" w:rsidR="004111A3" w:rsidRDefault="00A909B0">
            <w:pPr>
              <w:spacing w:before="120" w:after="120"/>
              <w:rPr>
                <w:color w:val="000000"/>
                <w:sz w:val="20"/>
                <w:szCs w:val="20"/>
              </w:rPr>
            </w:pPr>
            <w:r>
              <w:rPr>
                <w:color w:val="000000"/>
                <w:sz w:val="20"/>
                <w:szCs w:val="20"/>
              </w:rPr>
              <w:t>ТАК / НІ / Н.З.</w:t>
            </w:r>
          </w:p>
        </w:tc>
      </w:tr>
      <w:tr w:rsidR="004111A3" w14:paraId="58F885AB" w14:textId="77777777">
        <w:trPr>
          <w:gridAfter w:val="1"/>
          <w:wAfter w:w="7" w:type="dxa"/>
        </w:trPr>
        <w:tc>
          <w:tcPr>
            <w:tcW w:w="1091" w:type="dxa"/>
            <w:vMerge/>
          </w:tcPr>
          <w:p w14:paraId="488DB81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7FDBAED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29CFEE5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28F8215B" w14:textId="77777777" w:rsidR="004111A3" w:rsidRDefault="00A909B0">
            <w:pPr>
              <w:numPr>
                <w:ilvl w:val="0"/>
                <w:numId w:val="3"/>
              </w:numPr>
              <w:spacing w:before="120" w:after="120"/>
              <w:jc w:val="left"/>
              <w:rPr>
                <w:color w:val="000000"/>
                <w:sz w:val="20"/>
                <w:szCs w:val="20"/>
              </w:rPr>
            </w:pPr>
            <w:r>
              <w:rPr>
                <w:color w:val="000000"/>
                <w:sz w:val="20"/>
                <w:szCs w:val="20"/>
              </w:rPr>
              <w:t xml:space="preserve">Особи працювали в умовах, подібних до умов найманого працівника (в тому числі щодо </w:t>
            </w:r>
            <w:r>
              <w:rPr>
                <w:color w:val="000000"/>
                <w:sz w:val="20"/>
                <w:szCs w:val="20"/>
              </w:rPr>
              <w:lastRenderedPageBreak/>
              <w:t>домовленостей про дистанційну роботу/вимог до присутності в приміщенні).</w:t>
            </w:r>
          </w:p>
        </w:tc>
        <w:tc>
          <w:tcPr>
            <w:tcW w:w="1384" w:type="dxa"/>
            <w:gridSpan w:val="2"/>
            <w:shd w:val="clear" w:color="auto" w:fill="auto"/>
            <w:tcMar>
              <w:top w:w="0" w:type="dxa"/>
              <w:left w:w="108" w:type="dxa"/>
              <w:bottom w:w="0" w:type="dxa"/>
              <w:right w:w="108" w:type="dxa"/>
            </w:tcMar>
          </w:tcPr>
          <w:p w14:paraId="5224630B" w14:textId="77777777" w:rsidR="004111A3" w:rsidRDefault="00A909B0">
            <w:pPr>
              <w:spacing w:before="120" w:after="120"/>
              <w:rPr>
                <w:color w:val="000000"/>
                <w:sz w:val="20"/>
                <w:szCs w:val="20"/>
              </w:rPr>
            </w:pPr>
            <w:r>
              <w:rPr>
                <w:color w:val="000000"/>
                <w:sz w:val="20"/>
                <w:szCs w:val="20"/>
              </w:rPr>
              <w:lastRenderedPageBreak/>
              <w:t>ТАК / НІ / Н.З.</w:t>
            </w:r>
          </w:p>
        </w:tc>
      </w:tr>
      <w:tr w:rsidR="004111A3" w14:paraId="33DF21BA" w14:textId="77777777">
        <w:trPr>
          <w:gridAfter w:val="1"/>
          <w:wAfter w:w="7" w:type="dxa"/>
        </w:trPr>
        <w:tc>
          <w:tcPr>
            <w:tcW w:w="1091" w:type="dxa"/>
            <w:vMerge/>
          </w:tcPr>
          <w:p w14:paraId="512CE7C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42C5BF4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3746C5E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31240079" w14:textId="77777777" w:rsidR="004111A3" w:rsidRDefault="00A909B0">
            <w:pPr>
              <w:numPr>
                <w:ilvl w:val="0"/>
                <w:numId w:val="3"/>
              </w:numPr>
              <w:spacing w:before="120" w:after="120"/>
              <w:jc w:val="left"/>
              <w:rPr>
                <w:color w:val="000000"/>
                <w:sz w:val="20"/>
                <w:szCs w:val="20"/>
              </w:rPr>
            </w:pPr>
            <w:r>
              <w:rPr>
                <w:color w:val="000000"/>
                <w:sz w:val="20"/>
                <w:szCs w:val="20"/>
              </w:rPr>
              <w:t>Витрати на оплату праці таких осіб не повинні суттєво відрізнятися від витрат на оплату праці працівників учасника, які виконують аналогічні завдання (може бути прийнято до 50% по відношенню до середньої денної ставки працівників, які виконують аналогічні завдання, або 25% по відношенню до найвищої денної ставки працівників, які виконують аналогічні завдання (залежно від того, яка з цих двох величин є найменшою)).</w:t>
            </w:r>
          </w:p>
        </w:tc>
        <w:tc>
          <w:tcPr>
            <w:tcW w:w="1384" w:type="dxa"/>
            <w:gridSpan w:val="2"/>
            <w:shd w:val="clear" w:color="auto" w:fill="auto"/>
            <w:tcMar>
              <w:top w:w="0" w:type="dxa"/>
              <w:left w:w="108" w:type="dxa"/>
              <w:bottom w:w="0" w:type="dxa"/>
              <w:right w:w="108" w:type="dxa"/>
            </w:tcMar>
          </w:tcPr>
          <w:p w14:paraId="4D32E099" w14:textId="77777777" w:rsidR="004111A3" w:rsidRDefault="00A909B0">
            <w:pPr>
              <w:spacing w:before="120" w:after="120"/>
              <w:rPr>
                <w:color w:val="000000"/>
                <w:sz w:val="20"/>
                <w:szCs w:val="20"/>
              </w:rPr>
            </w:pPr>
            <w:r>
              <w:rPr>
                <w:color w:val="000000"/>
                <w:sz w:val="20"/>
                <w:szCs w:val="20"/>
              </w:rPr>
              <w:t>ТАК / НІ / Н.З.</w:t>
            </w:r>
          </w:p>
        </w:tc>
      </w:tr>
      <w:tr w:rsidR="004111A3" w14:paraId="0D98960F" w14:textId="77777777">
        <w:trPr>
          <w:gridAfter w:val="1"/>
          <w:wAfter w:w="7" w:type="dxa"/>
        </w:trPr>
        <w:tc>
          <w:tcPr>
            <w:tcW w:w="1091" w:type="dxa"/>
            <w:vMerge/>
          </w:tcPr>
          <w:p w14:paraId="121DB5B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18D1CCF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43B1914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0E2001D4" w14:textId="77777777" w:rsidR="004111A3" w:rsidRDefault="00A909B0">
            <w:pPr>
              <w:numPr>
                <w:ilvl w:val="0"/>
                <w:numId w:val="3"/>
              </w:numPr>
              <w:spacing w:before="120" w:after="120"/>
              <w:jc w:val="left"/>
              <w:rPr>
                <w:color w:val="000000"/>
                <w:sz w:val="20"/>
                <w:szCs w:val="20"/>
              </w:rPr>
            </w:pPr>
            <w:r>
              <w:rPr>
                <w:color w:val="000000"/>
                <w:sz w:val="20"/>
                <w:szCs w:val="20"/>
              </w:rPr>
              <w:t xml:space="preserve">Результати виконаних робіт належать учаснику, або, якщо це не так, учасник отримав всі необхідні права для виконання своїх зобов'язань так, як якщо б ці результати були створені ним самим (наприклад, </w:t>
            </w:r>
            <w:r>
              <w:rPr>
                <w:i/>
                <w:color w:val="000000"/>
                <w:sz w:val="20"/>
                <w:szCs w:val="20"/>
              </w:rPr>
              <w:t>шляхом отримання відповідних ліцензій</w:t>
            </w:r>
            <w:r>
              <w:rPr>
                <w:color w:val="000000"/>
                <w:sz w:val="20"/>
                <w:szCs w:val="20"/>
              </w:rPr>
              <w:t>).</w:t>
            </w:r>
          </w:p>
        </w:tc>
        <w:tc>
          <w:tcPr>
            <w:tcW w:w="1384" w:type="dxa"/>
            <w:gridSpan w:val="2"/>
            <w:shd w:val="clear" w:color="auto" w:fill="auto"/>
            <w:tcMar>
              <w:top w:w="0" w:type="dxa"/>
              <w:left w:w="108" w:type="dxa"/>
              <w:bottom w:w="0" w:type="dxa"/>
              <w:right w:w="108" w:type="dxa"/>
            </w:tcMar>
          </w:tcPr>
          <w:p w14:paraId="7CF2E719" w14:textId="77777777" w:rsidR="004111A3" w:rsidRDefault="00A909B0">
            <w:pPr>
              <w:spacing w:before="120" w:after="120"/>
              <w:rPr>
                <w:color w:val="000000"/>
                <w:sz w:val="20"/>
                <w:szCs w:val="20"/>
              </w:rPr>
            </w:pPr>
            <w:r>
              <w:rPr>
                <w:color w:val="000000"/>
                <w:sz w:val="20"/>
                <w:szCs w:val="20"/>
              </w:rPr>
              <w:t>ТАК / НІ / Н.З.</w:t>
            </w:r>
          </w:p>
        </w:tc>
      </w:tr>
      <w:tr w:rsidR="004111A3" w14:paraId="268792A8" w14:textId="77777777">
        <w:trPr>
          <w:gridAfter w:val="1"/>
          <w:wAfter w:w="7" w:type="dxa"/>
        </w:trPr>
        <w:tc>
          <w:tcPr>
            <w:tcW w:w="1091" w:type="dxa"/>
            <w:vMerge/>
          </w:tcPr>
          <w:p w14:paraId="31C1672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63A0569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19266A2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71C3DDDE" w14:textId="77777777" w:rsidR="004111A3" w:rsidRDefault="00A909B0">
            <w:pPr>
              <w:numPr>
                <w:ilvl w:val="0"/>
                <w:numId w:val="3"/>
              </w:numPr>
              <w:spacing w:before="120" w:after="120"/>
              <w:jc w:val="left"/>
              <w:rPr>
                <w:color w:val="000000"/>
                <w:sz w:val="20"/>
                <w:szCs w:val="20"/>
              </w:rPr>
            </w:pPr>
            <w:r>
              <w:rPr>
                <w:color w:val="000000"/>
                <w:sz w:val="20"/>
                <w:szCs w:val="20"/>
              </w:rPr>
              <w:t>Особа була призначена для виконання дії згідно з внутрішніми письмовими інструкціями, організаційною структурою або іншим задокументованим рішенням керівництва.</w:t>
            </w:r>
          </w:p>
        </w:tc>
        <w:tc>
          <w:tcPr>
            <w:tcW w:w="1384" w:type="dxa"/>
            <w:gridSpan w:val="2"/>
            <w:shd w:val="clear" w:color="auto" w:fill="auto"/>
            <w:tcMar>
              <w:top w:w="0" w:type="dxa"/>
              <w:left w:w="108" w:type="dxa"/>
              <w:bottom w:w="0" w:type="dxa"/>
              <w:right w:w="108" w:type="dxa"/>
            </w:tcMar>
          </w:tcPr>
          <w:p w14:paraId="02237D39" w14:textId="77777777" w:rsidR="004111A3" w:rsidRDefault="00A909B0">
            <w:pPr>
              <w:spacing w:before="120" w:after="120"/>
              <w:rPr>
                <w:color w:val="000000"/>
                <w:sz w:val="20"/>
                <w:szCs w:val="20"/>
              </w:rPr>
            </w:pPr>
            <w:r>
              <w:rPr>
                <w:color w:val="000000"/>
                <w:sz w:val="20"/>
                <w:szCs w:val="20"/>
              </w:rPr>
              <w:t>ТАК / НІ / Н.З.</w:t>
            </w:r>
          </w:p>
        </w:tc>
      </w:tr>
      <w:tr w:rsidR="004111A3" w14:paraId="2D0027CC" w14:textId="77777777">
        <w:trPr>
          <w:gridAfter w:val="1"/>
          <w:wAfter w:w="7" w:type="dxa"/>
        </w:trPr>
        <w:tc>
          <w:tcPr>
            <w:tcW w:w="1091" w:type="dxa"/>
            <w:vMerge/>
          </w:tcPr>
          <w:p w14:paraId="3A11EB2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5C7844B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0CF1D84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35022E66" w14:textId="77777777" w:rsidR="004111A3" w:rsidRDefault="00A909B0">
            <w:pPr>
              <w:numPr>
                <w:ilvl w:val="0"/>
                <w:numId w:val="3"/>
              </w:numPr>
              <w:spacing w:before="120" w:after="120"/>
              <w:jc w:val="left"/>
              <w:rPr>
                <w:color w:val="000000"/>
                <w:sz w:val="20"/>
                <w:szCs w:val="20"/>
              </w:rPr>
            </w:pPr>
            <w:r>
              <w:rPr>
                <w:color w:val="000000"/>
                <w:sz w:val="20"/>
                <w:szCs w:val="20"/>
              </w:rPr>
              <w:t>Еквіваленти днів, відпрацьованих на акції, були зафіксовані в щомісячній декларації, підписаній особою та її керівником, або зафіксовані в іншій надійній системі обліку робочого часу.</w:t>
            </w:r>
          </w:p>
        </w:tc>
        <w:tc>
          <w:tcPr>
            <w:tcW w:w="1384" w:type="dxa"/>
            <w:gridSpan w:val="2"/>
            <w:shd w:val="clear" w:color="auto" w:fill="auto"/>
            <w:tcMar>
              <w:top w:w="0" w:type="dxa"/>
              <w:left w:w="108" w:type="dxa"/>
              <w:bottom w:w="0" w:type="dxa"/>
              <w:right w:w="108" w:type="dxa"/>
            </w:tcMar>
          </w:tcPr>
          <w:p w14:paraId="2FBAD167" w14:textId="77777777" w:rsidR="004111A3" w:rsidRDefault="00A909B0">
            <w:pPr>
              <w:spacing w:before="120" w:after="120"/>
              <w:rPr>
                <w:color w:val="000000"/>
                <w:sz w:val="20"/>
                <w:szCs w:val="20"/>
              </w:rPr>
            </w:pPr>
            <w:r>
              <w:rPr>
                <w:color w:val="000000"/>
                <w:sz w:val="20"/>
                <w:szCs w:val="20"/>
              </w:rPr>
              <w:t>ТАК / НІ / Н.З.</w:t>
            </w:r>
          </w:p>
        </w:tc>
      </w:tr>
      <w:tr w:rsidR="004111A3" w14:paraId="28D980C6" w14:textId="77777777">
        <w:trPr>
          <w:gridAfter w:val="1"/>
          <w:wAfter w:w="7" w:type="dxa"/>
        </w:trPr>
        <w:tc>
          <w:tcPr>
            <w:tcW w:w="1091" w:type="dxa"/>
            <w:vMerge/>
          </w:tcPr>
          <w:p w14:paraId="7A038C9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75360BC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356F63C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0D52CA71"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Час, відпрацьований на виконання дії, було переведено в денний еквівалент.</w:t>
            </w:r>
          </w:p>
        </w:tc>
        <w:tc>
          <w:tcPr>
            <w:tcW w:w="1384" w:type="dxa"/>
            <w:gridSpan w:val="2"/>
            <w:shd w:val="clear" w:color="auto" w:fill="auto"/>
            <w:tcMar>
              <w:top w:w="0" w:type="dxa"/>
              <w:left w:w="108" w:type="dxa"/>
              <w:bottom w:w="0" w:type="dxa"/>
              <w:right w:w="108" w:type="dxa"/>
            </w:tcMar>
          </w:tcPr>
          <w:p w14:paraId="3C2D1709" w14:textId="77777777" w:rsidR="004111A3" w:rsidRDefault="00A909B0">
            <w:pPr>
              <w:spacing w:before="120" w:after="120"/>
              <w:rPr>
                <w:color w:val="000000"/>
                <w:sz w:val="20"/>
                <w:szCs w:val="20"/>
              </w:rPr>
            </w:pPr>
            <w:r>
              <w:rPr>
                <w:color w:val="000000"/>
                <w:sz w:val="20"/>
                <w:szCs w:val="20"/>
              </w:rPr>
              <w:t>ТАК / НІ / Н.З.</w:t>
            </w:r>
          </w:p>
        </w:tc>
      </w:tr>
      <w:tr w:rsidR="004111A3" w14:paraId="5933E144" w14:textId="77777777">
        <w:trPr>
          <w:gridAfter w:val="1"/>
          <w:wAfter w:w="7" w:type="dxa"/>
        </w:trPr>
        <w:tc>
          <w:tcPr>
            <w:tcW w:w="1091" w:type="dxa"/>
            <w:vMerge/>
          </w:tcPr>
          <w:p w14:paraId="3B2DF0D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6C7E2C5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3F771E0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57C8D806"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Витрати, що використовуються для розрахунку добової ставки для особи, не включають неприйнятні витрати.</w:t>
            </w:r>
          </w:p>
        </w:tc>
        <w:tc>
          <w:tcPr>
            <w:tcW w:w="1384" w:type="dxa"/>
            <w:gridSpan w:val="2"/>
            <w:shd w:val="clear" w:color="auto" w:fill="auto"/>
            <w:tcMar>
              <w:top w:w="0" w:type="dxa"/>
              <w:left w:w="108" w:type="dxa"/>
              <w:bottom w:w="0" w:type="dxa"/>
              <w:right w:w="108" w:type="dxa"/>
            </w:tcMar>
          </w:tcPr>
          <w:p w14:paraId="4F144F52" w14:textId="77777777" w:rsidR="004111A3" w:rsidRDefault="00A909B0">
            <w:pPr>
              <w:spacing w:before="120" w:after="120"/>
              <w:rPr>
                <w:color w:val="000000"/>
                <w:sz w:val="20"/>
                <w:szCs w:val="20"/>
              </w:rPr>
            </w:pPr>
            <w:r>
              <w:rPr>
                <w:color w:val="000000"/>
                <w:sz w:val="20"/>
                <w:szCs w:val="20"/>
              </w:rPr>
              <w:t>ТАК / НІ / Н.З.</w:t>
            </w:r>
          </w:p>
        </w:tc>
      </w:tr>
      <w:tr w:rsidR="004111A3" w14:paraId="60BA8EB0" w14:textId="77777777">
        <w:trPr>
          <w:gridAfter w:val="1"/>
          <w:wAfter w:w="7" w:type="dxa"/>
        </w:trPr>
        <w:tc>
          <w:tcPr>
            <w:tcW w:w="1091" w:type="dxa"/>
            <w:vMerge/>
          </w:tcPr>
          <w:p w14:paraId="3655DDC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172AAAC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5AE5B18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38D8C58A"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денна ставка була розрахована за однією з наступних 3 альтернатив:</w:t>
            </w:r>
          </w:p>
          <w:p w14:paraId="6F1F00C4" w14:textId="77777777" w:rsidR="004111A3" w:rsidRDefault="00A909B0">
            <w:pPr>
              <w:numPr>
                <w:ilvl w:val="0"/>
                <w:numId w:val="4"/>
              </w:numPr>
              <w:pBdr>
                <w:top w:val="nil"/>
                <w:left w:val="nil"/>
                <w:bottom w:val="nil"/>
                <w:right w:val="nil"/>
                <w:between w:val="nil"/>
              </w:pBdr>
              <w:spacing w:before="120" w:after="120"/>
              <w:jc w:val="left"/>
              <w:rPr>
                <w:color w:val="000000"/>
                <w:sz w:val="20"/>
                <w:szCs w:val="20"/>
              </w:rPr>
            </w:pPr>
            <w:r>
              <w:rPr>
                <w:color w:val="000000"/>
                <w:sz w:val="20"/>
                <w:szCs w:val="20"/>
              </w:rPr>
              <w:t>Якщо в договорі зазначено фіксовану денну ставку, слід використовувати цю ставку. Якщо замість денної ставки встановлена погодинна, помножте погодинну ставку на 8</w:t>
            </w:r>
          </w:p>
          <w:p w14:paraId="136D63E7" w14:textId="77777777" w:rsidR="004111A3" w:rsidRDefault="00A909B0">
            <w:pPr>
              <w:numPr>
                <w:ilvl w:val="0"/>
                <w:numId w:val="4"/>
              </w:numPr>
              <w:pBdr>
                <w:top w:val="nil"/>
                <w:left w:val="nil"/>
                <w:bottom w:val="nil"/>
                <w:right w:val="nil"/>
                <w:between w:val="nil"/>
              </w:pBdr>
              <w:spacing w:before="120" w:after="120"/>
              <w:jc w:val="left"/>
              <w:rPr>
                <w:color w:val="000000"/>
                <w:sz w:val="20"/>
                <w:szCs w:val="20"/>
              </w:rPr>
            </w:pPr>
            <w:r>
              <w:rPr>
                <w:color w:val="000000"/>
                <w:sz w:val="20"/>
                <w:szCs w:val="20"/>
              </w:rPr>
              <w:t>Якщо в контракті зазначено фіксований обсяг робіт і фіксовану кількість днів/годин, загальну суму за роботу потрібно розділити на кількість днів в еквіваленті. Якщо вказані години, конвертуйте в еквівалент днів за коефіцієнтом X 8</w:t>
            </w:r>
          </w:p>
          <w:p w14:paraId="669E62C4" w14:textId="77777777" w:rsidR="004111A3" w:rsidRDefault="00A909B0">
            <w:pPr>
              <w:numPr>
                <w:ilvl w:val="0"/>
                <w:numId w:val="4"/>
              </w:numPr>
              <w:pBdr>
                <w:top w:val="nil"/>
                <w:left w:val="nil"/>
                <w:bottom w:val="nil"/>
                <w:right w:val="nil"/>
                <w:between w:val="nil"/>
              </w:pBdr>
              <w:spacing w:before="120" w:after="120"/>
              <w:jc w:val="left"/>
              <w:rPr>
                <w:color w:val="000000"/>
                <w:sz w:val="20"/>
                <w:szCs w:val="20"/>
              </w:rPr>
            </w:pPr>
            <w:r>
              <w:rPr>
                <w:color w:val="000000"/>
                <w:sz w:val="20"/>
                <w:szCs w:val="20"/>
              </w:rPr>
              <w:t>Якщо в контракті вказана фіксована сума за роботу, але не вказана денна чи погодинна ставка або загальна кількість днів чи годин, які мають бути відпрацьовані, загальна сума за роботу має бути поділена на пропорцію 215, що відповідає тривалості контракту.</w:t>
            </w:r>
          </w:p>
        </w:tc>
        <w:tc>
          <w:tcPr>
            <w:tcW w:w="1384" w:type="dxa"/>
            <w:gridSpan w:val="2"/>
            <w:shd w:val="clear" w:color="auto" w:fill="auto"/>
            <w:tcMar>
              <w:top w:w="0" w:type="dxa"/>
              <w:left w:w="108" w:type="dxa"/>
              <w:bottom w:w="0" w:type="dxa"/>
              <w:right w:w="108" w:type="dxa"/>
            </w:tcMar>
          </w:tcPr>
          <w:p w14:paraId="653FEED7" w14:textId="77777777" w:rsidR="004111A3" w:rsidRDefault="00A909B0">
            <w:pPr>
              <w:spacing w:before="120" w:after="120"/>
              <w:rPr>
                <w:color w:val="000000"/>
                <w:sz w:val="20"/>
                <w:szCs w:val="20"/>
              </w:rPr>
            </w:pPr>
            <w:r>
              <w:rPr>
                <w:color w:val="000000"/>
                <w:sz w:val="20"/>
                <w:szCs w:val="20"/>
              </w:rPr>
              <w:t>ТАК / НІ / Н.З.</w:t>
            </w:r>
          </w:p>
        </w:tc>
      </w:tr>
      <w:tr w:rsidR="004111A3" w14:paraId="5C17425F" w14:textId="77777777">
        <w:trPr>
          <w:gridAfter w:val="1"/>
          <w:wAfter w:w="7" w:type="dxa"/>
        </w:trPr>
        <w:tc>
          <w:tcPr>
            <w:tcW w:w="1091" w:type="dxa"/>
            <w:vMerge/>
          </w:tcPr>
          <w:p w14:paraId="7000D4F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6AF62E0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015125A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211E406D" w14:textId="77777777" w:rsidR="004111A3" w:rsidRDefault="00A909B0">
            <w:pPr>
              <w:numPr>
                <w:ilvl w:val="0"/>
                <w:numId w:val="3"/>
              </w:numPr>
              <w:spacing w:before="120" w:after="120"/>
              <w:jc w:val="left"/>
              <w:rPr>
                <w:color w:val="000000"/>
                <w:sz w:val="20"/>
                <w:szCs w:val="20"/>
              </w:rPr>
            </w:pPr>
            <w:r>
              <w:rPr>
                <w:color w:val="000000"/>
                <w:sz w:val="20"/>
                <w:szCs w:val="20"/>
              </w:rPr>
              <w:t>Витрати на персонал, задекларовані для особи за кожний звітний період, були розраховані правильно ({відпрацьовані еквіваленти днів (округлені в більшу або меншу сторону до найближчих півдня)} х {денна ставка}).</w:t>
            </w:r>
          </w:p>
        </w:tc>
        <w:tc>
          <w:tcPr>
            <w:tcW w:w="1384" w:type="dxa"/>
            <w:gridSpan w:val="2"/>
            <w:shd w:val="clear" w:color="auto" w:fill="auto"/>
            <w:tcMar>
              <w:top w:w="0" w:type="dxa"/>
              <w:left w:w="108" w:type="dxa"/>
              <w:bottom w:w="0" w:type="dxa"/>
              <w:right w:w="108" w:type="dxa"/>
            </w:tcMar>
          </w:tcPr>
          <w:p w14:paraId="209A5763" w14:textId="77777777" w:rsidR="004111A3" w:rsidRDefault="00A909B0">
            <w:pPr>
              <w:spacing w:before="120" w:after="120"/>
              <w:rPr>
                <w:color w:val="000000"/>
                <w:sz w:val="20"/>
                <w:szCs w:val="20"/>
              </w:rPr>
            </w:pPr>
            <w:r>
              <w:rPr>
                <w:color w:val="000000"/>
                <w:sz w:val="20"/>
                <w:szCs w:val="20"/>
              </w:rPr>
              <w:t>ТАК / НІ / Н.З.</w:t>
            </w:r>
          </w:p>
        </w:tc>
      </w:tr>
      <w:tr w:rsidR="004111A3" w14:paraId="01FD990C" w14:textId="77777777">
        <w:trPr>
          <w:gridAfter w:val="1"/>
          <w:wAfter w:w="7" w:type="dxa"/>
        </w:trPr>
        <w:tc>
          <w:tcPr>
            <w:tcW w:w="1091" w:type="dxa"/>
            <w:vMerge/>
          </w:tcPr>
          <w:p w14:paraId="035A311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3618D5E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71D1F2E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53" w:type="dxa"/>
            <w:shd w:val="clear" w:color="auto" w:fill="auto"/>
            <w:tcMar>
              <w:top w:w="0" w:type="dxa"/>
              <w:left w:w="108" w:type="dxa"/>
              <w:bottom w:w="0" w:type="dxa"/>
              <w:right w:w="108" w:type="dxa"/>
            </w:tcMar>
          </w:tcPr>
          <w:p w14:paraId="1E5F68EC"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 xml:space="preserve">Якщо при розрахунку суми за "одиницю" (денної ставки) використовується кількість денних еквівалентів, учасник не задекларував більше денних еквівалентів, відпрацьованих на виконання </w:t>
            </w:r>
            <w:r>
              <w:rPr>
                <w:color w:val="000000"/>
                <w:sz w:val="20"/>
                <w:szCs w:val="20"/>
              </w:rPr>
              <w:lastRenderedPageBreak/>
              <w:t>дій, ніж кількість денних еквівалентів, використаних для розрахунку денної ставки (узгодженість із знаменником).</w:t>
            </w:r>
          </w:p>
        </w:tc>
        <w:tc>
          <w:tcPr>
            <w:tcW w:w="1384" w:type="dxa"/>
            <w:gridSpan w:val="2"/>
            <w:shd w:val="clear" w:color="auto" w:fill="auto"/>
            <w:tcMar>
              <w:top w:w="0" w:type="dxa"/>
              <w:left w:w="108" w:type="dxa"/>
              <w:bottom w:w="0" w:type="dxa"/>
              <w:right w:w="108" w:type="dxa"/>
            </w:tcMar>
          </w:tcPr>
          <w:p w14:paraId="4D48EECA" w14:textId="77777777" w:rsidR="004111A3" w:rsidRDefault="00A909B0">
            <w:pPr>
              <w:spacing w:before="120" w:after="120"/>
              <w:rPr>
                <w:color w:val="000000"/>
                <w:sz w:val="20"/>
                <w:szCs w:val="20"/>
              </w:rPr>
            </w:pPr>
            <w:r>
              <w:rPr>
                <w:color w:val="000000"/>
                <w:sz w:val="20"/>
                <w:szCs w:val="20"/>
              </w:rPr>
              <w:lastRenderedPageBreak/>
              <w:t>ТАК / НІ / Н.З.</w:t>
            </w:r>
          </w:p>
        </w:tc>
      </w:tr>
      <w:tr w:rsidR="004111A3" w14:paraId="38855138" w14:textId="77777777">
        <w:trPr>
          <w:gridAfter w:val="1"/>
          <w:wAfter w:w="7" w:type="dxa"/>
        </w:trPr>
        <w:tc>
          <w:tcPr>
            <w:tcW w:w="1091" w:type="dxa"/>
            <w:shd w:val="clear" w:color="auto" w:fill="EBF1DD"/>
          </w:tcPr>
          <w:p w14:paraId="78E516C8" w14:textId="77777777" w:rsidR="004111A3" w:rsidRDefault="00A909B0">
            <w:pPr>
              <w:spacing w:before="120" w:after="120"/>
              <w:jc w:val="center"/>
              <w:rPr>
                <w:b/>
                <w:color w:val="000000"/>
                <w:sz w:val="20"/>
                <w:szCs w:val="20"/>
              </w:rPr>
            </w:pPr>
            <w:r>
              <w:rPr>
                <w:b/>
                <w:color w:val="000000"/>
                <w:sz w:val="20"/>
                <w:szCs w:val="20"/>
              </w:rPr>
              <w:t>Стаття 6.2.A.3</w:t>
            </w:r>
          </w:p>
        </w:tc>
        <w:tc>
          <w:tcPr>
            <w:tcW w:w="1051" w:type="dxa"/>
            <w:shd w:val="clear" w:color="auto" w:fill="EBF1DD"/>
            <w:vAlign w:val="center"/>
          </w:tcPr>
          <w:p w14:paraId="07A7E40F" w14:textId="77777777" w:rsidR="004111A3" w:rsidRDefault="00A909B0">
            <w:pPr>
              <w:spacing w:before="120" w:after="120"/>
              <w:jc w:val="center"/>
              <w:rPr>
                <w:b/>
                <w:color w:val="000000"/>
                <w:sz w:val="20"/>
                <w:szCs w:val="20"/>
              </w:rPr>
            </w:pPr>
            <w:r>
              <w:rPr>
                <w:b/>
                <w:color w:val="000000"/>
                <w:sz w:val="20"/>
                <w:szCs w:val="20"/>
              </w:rPr>
              <w:t>A.3</w:t>
            </w:r>
          </w:p>
        </w:tc>
        <w:tc>
          <w:tcPr>
            <w:tcW w:w="12865" w:type="dxa"/>
            <w:gridSpan w:val="4"/>
            <w:shd w:val="clear" w:color="auto" w:fill="EBF1DD"/>
            <w:tcMar>
              <w:top w:w="0" w:type="dxa"/>
              <w:left w:w="108" w:type="dxa"/>
              <w:bottom w:w="0" w:type="dxa"/>
              <w:right w:w="108" w:type="dxa"/>
            </w:tcMar>
            <w:vAlign w:val="center"/>
          </w:tcPr>
          <w:p w14:paraId="4EE4BF22" w14:textId="77777777" w:rsidR="004111A3" w:rsidRDefault="00A909B0">
            <w:pPr>
              <w:spacing w:before="120" w:after="120"/>
              <w:jc w:val="left"/>
              <w:rPr>
                <w:b/>
                <w:color w:val="000000"/>
                <w:sz w:val="20"/>
                <w:szCs w:val="20"/>
              </w:rPr>
            </w:pPr>
            <w:r>
              <w:rPr>
                <w:b/>
                <w:color w:val="000000"/>
                <w:sz w:val="20"/>
                <w:szCs w:val="20"/>
              </w:rPr>
              <w:t>ВІДРЯДЖЕННЯ ОСІБ ТРЕТЬОЮ СТОРОНОЮ ЗА ПЕВНУ ПЛАТУ</w:t>
            </w:r>
          </w:p>
        </w:tc>
      </w:tr>
      <w:tr w:rsidR="004111A3" w14:paraId="59C90420" w14:textId="77777777">
        <w:trPr>
          <w:gridAfter w:val="1"/>
          <w:wAfter w:w="7" w:type="dxa"/>
        </w:trPr>
        <w:tc>
          <w:tcPr>
            <w:tcW w:w="1091" w:type="dxa"/>
            <w:vMerge w:val="restart"/>
          </w:tcPr>
          <w:p w14:paraId="6D89B153" w14:textId="77777777" w:rsidR="004111A3" w:rsidRDefault="00A909B0">
            <w:pPr>
              <w:spacing w:before="120" w:after="120"/>
              <w:jc w:val="center"/>
              <w:rPr>
                <w:b/>
                <w:color w:val="000000"/>
                <w:sz w:val="20"/>
                <w:szCs w:val="20"/>
              </w:rPr>
            </w:pPr>
            <w:r>
              <w:rPr>
                <w:b/>
                <w:color w:val="000000"/>
                <w:sz w:val="20"/>
                <w:szCs w:val="20"/>
              </w:rPr>
              <w:t>Стаття 6.2.A.3</w:t>
            </w:r>
          </w:p>
        </w:tc>
        <w:tc>
          <w:tcPr>
            <w:tcW w:w="1051" w:type="dxa"/>
            <w:vMerge w:val="restart"/>
          </w:tcPr>
          <w:p w14:paraId="5664B124" w14:textId="77777777" w:rsidR="004111A3" w:rsidRDefault="00A909B0">
            <w:pPr>
              <w:spacing w:before="120" w:after="120"/>
              <w:jc w:val="center"/>
              <w:rPr>
                <w:b/>
                <w:color w:val="000000"/>
                <w:sz w:val="20"/>
                <w:szCs w:val="20"/>
              </w:rPr>
            </w:pPr>
            <w:r>
              <w:rPr>
                <w:b/>
                <w:color w:val="000000"/>
                <w:sz w:val="20"/>
                <w:szCs w:val="20"/>
              </w:rPr>
              <w:t>A.3</w:t>
            </w:r>
          </w:p>
          <w:p w14:paraId="6FEC92CF" w14:textId="77777777" w:rsidR="004111A3" w:rsidRDefault="00A909B0">
            <w:pPr>
              <w:spacing w:before="120" w:after="120"/>
              <w:jc w:val="center"/>
              <w:rPr>
                <w:b/>
                <w:color w:val="000000"/>
                <w:sz w:val="20"/>
                <w:szCs w:val="20"/>
              </w:rPr>
            </w:pPr>
            <w:r>
              <w:rPr>
                <w:b/>
                <w:color w:val="000000"/>
                <w:sz w:val="20"/>
                <w:szCs w:val="20"/>
              </w:rPr>
              <w:t>ВІДРЯДЖЕНІ ОСОБИ</w:t>
            </w:r>
          </w:p>
        </w:tc>
        <w:tc>
          <w:tcPr>
            <w:tcW w:w="6528" w:type="dxa"/>
            <w:vMerge w:val="restart"/>
            <w:shd w:val="clear" w:color="auto" w:fill="auto"/>
            <w:tcMar>
              <w:top w:w="0" w:type="dxa"/>
              <w:left w:w="108" w:type="dxa"/>
              <w:bottom w:w="0" w:type="dxa"/>
              <w:right w:w="108" w:type="dxa"/>
            </w:tcMar>
          </w:tcPr>
          <w:p w14:paraId="61C8FC25" w14:textId="77777777" w:rsidR="004111A3" w:rsidRDefault="00A909B0">
            <w:pPr>
              <w:spacing w:before="120" w:after="120"/>
              <w:jc w:val="left"/>
              <w:rPr>
                <w:b/>
                <w:i/>
                <w:color w:val="000000"/>
                <w:sz w:val="20"/>
                <w:szCs w:val="20"/>
              </w:rPr>
            </w:pPr>
            <w:r>
              <w:rPr>
                <w:b/>
                <w:i/>
                <w:color w:val="000000"/>
                <w:sz w:val="20"/>
                <w:szCs w:val="20"/>
              </w:rPr>
              <w:t>Для осіб, включених до вибірки та відряджених третьою стороною за оплату (не субпідрядники):</w:t>
            </w:r>
          </w:p>
          <w:p w14:paraId="767DF579" w14:textId="77777777" w:rsidR="004111A3" w:rsidRDefault="00A909B0">
            <w:pPr>
              <w:spacing w:before="120" w:after="120"/>
              <w:jc w:val="left"/>
              <w:rPr>
                <w:color w:val="000000"/>
                <w:sz w:val="20"/>
                <w:szCs w:val="20"/>
              </w:rPr>
            </w:pPr>
            <w:r>
              <w:rPr>
                <w:color w:val="000000"/>
                <w:sz w:val="20"/>
                <w:szCs w:val="20"/>
              </w:rPr>
              <w:t>Спеціаліст здійснив загальну перевірку прийнятності та неприйнятності витрат (див. вище).</w:t>
            </w:r>
          </w:p>
          <w:p w14:paraId="593F2196" w14:textId="77777777" w:rsidR="004111A3" w:rsidRDefault="00A909B0">
            <w:pPr>
              <w:spacing w:before="120" w:after="120"/>
              <w:jc w:val="left"/>
              <w:rPr>
                <w:color w:val="000000"/>
                <w:sz w:val="20"/>
                <w:szCs w:val="20"/>
              </w:rPr>
            </w:pPr>
            <w:r>
              <w:rPr>
                <w:color w:val="000000"/>
                <w:sz w:val="20"/>
                <w:szCs w:val="20"/>
              </w:rPr>
              <w:t>Щоб підтвердити стандартні висновки в наступній колонці, фахівець перевірив наступну інформацію/документи, надані учасником:</w:t>
            </w:r>
          </w:p>
          <w:p w14:paraId="65F8506E"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їхні контракти на відрядження, зокрема, щодо вартості, тривалості, опису роботи, місця роботи та права власності на результати</w:t>
            </w:r>
          </w:p>
          <w:p w14:paraId="02327D1B"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для відшкодування учасником третій стороні за надані ресурси (відряджений персонал за оплату): будь-яка документація, що підтверджує задекларовані витрати (наприклад, контракт, рахунок-фактура, банківський платіж та підтвердження реєстрації в бухгалтерському обліку/платіжній відомості тощо) та звірення фінансового звіту(</w:t>
            </w:r>
            <w:proofErr w:type="spellStart"/>
            <w:r>
              <w:rPr>
                <w:color w:val="000000"/>
                <w:sz w:val="20"/>
                <w:szCs w:val="20"/>
              </w:rPr>
              <w:t>ів</w:t>
            </w:r>
            <w:proofErr w:type="spellEnd"/>
            <w:r>
              <w:rPr>
                <w:color w:val="000000"/>
                <w:sz w:val="20"/>
                <w:szCs w:val="20"/>
              </w:rPr>
              <w:t>) з системою бухгалтерського обліку (бухгалтерський облік проекту та головна книга), а також будь-які докази того, що сума, виставлена третьою стороною, не включає прибуток . Тобто, що добова ставка, сплачена учасником, не перевищує добову ставку, фактично сплачену третьою стороною відрядженій особі, із застосуванням правил розрахунку, передбачених Грантовою угодою)</w:t>
            </w:r>
          </w:p>
          <w:p w14:paraId="65F632EC" w14:textId="77777777" w:rsidR="004111A3" w:rsidRDefault="00A909B0">
            <w:pPr>
              <w:numPr>
                <w:ilvl w:val="0"/>
                <w:numId w:val="2"/>
              </w:numPr>
              <w:pBdr>
                <w:top w:val="nil"/>
                <w:left w:val="nil"/>
                <w:bottom w:val="nil"/>
                <w:right w:val="nil"/>
                <w:between w:val="nil"/>
              </w:pBdr>
              <w:spacing w:before="120" w:after="120"/>
              <w:ind w:left="504" w:hanging="330"/>
              <w:rPr>
                <w:color w:val="000000"/>
                <w:sz w:val="20"/>
                <w:szCs w:val="20"/>
              </w:rPr>
            </w:pPr>
            <w:r>
              <w:rPr>
                <w:color w:val="000000"/>
                <w:sz w:val="20"/>
                <w:szCs w:val="20"/>
              </w:rPr>
              <w:t>будь-який інший документ, що підтверджує заявлені витрати (наприклад, рахунки-фактури тощо) та підтвердження оплати.</w:t>
            </w:r>
          </w:p>
          <w:p w14:paraId="310C77D5" w14:textId="77777777" w:rsidR="004111A3" w:rsidRDefault="00A909B0">
            <w:pPr>
              <w:spacing w:before="120" w:after="120"/>
              <w:rPr>
                <w:i/>
                <w:color w:val="000000"/>
                <w:sz w:val="20"/>
                <w:szCs w:val="20"/>
              </w:rPr>
            </w:pPr>
            <w:r>
              <w:rPr>
                <w:color w:val="000000"/>
                <w:sz w:val="20"/>
                <w:szCs w:val="20"/>
              </w:rPr>
              <w:lastRenderedPageBreak/>
              <w:t xml:space="preserve">Як правило, фахівець повинен вважати різницю у витратах порівняно з працівниками, які виконують аналогічні завдання за трудовим договором з учасником, суттєвою, якщо вона на 50% або більше перевищує середню денну ставку працівників, які виконують аналогічні завдання, або на 25% або більше перевищує найвищу денну ставку працівників, які виконують аналогічні завдання (залежно від того, яка з цих двох величин є меншою). Однак, у конкретному випадку осіб, відряджених за оплату від третьої сторони, яка знаходиться в іншій країні, ніж країна учасника, витрати можуть перевищувати 50% по відношенню до середньої денної ставки працівників, які виконують подібні завдання, або перевищувати 25% по відношенню до найвищої денної ставки працівників, які виконують подібні завдання (залежно від того, яка з цих сум є меншою), якщо учасник може продемонструвати, що його звичайною практикою є оплата </w:t>
            </w:r>
            <w:proofErr w:type="spellStart"/>
            <w:r>
              <w:rPr>
                <w:color w:val="000000"/>
                <w:sz w:val="20"/>
                <w:szCs w:val="20"/>
              </w:rPr>
              <w:t>відряджень</w:t>
            </w:r>
            <w:proofErr w:type="spellEnd"/>
            <w:r>
              <w:rPr>
                <w:color w:val="000000"/>
                <w:sz w:val="20"/>
                <w:szCs w:val="20"/>
              </w:rPr>
              <w:t xml:space="preserve"> на рівні фактичної винагороди відрядженої особи.</w:t>
            </w:r>
          </w:p>
        </w:tc>
        <w:tc>
          <w:tcPr>
            <w:tcW w:w="4962" w:type="dxa"/>
            <w:gridSpan w:val="2"/>
            <w:shd w:val="clear" w:color="auto" w:fill="auto"/>
            <w:tcMar>
              <w:top w:w="0" w:type="dxa"/>
              <w:left w:w="108" w:type="dxa"/>
              <w:bottom w:w="0" w:type="dxa"/>
              <w:right w:w="108" w:type="dxa"/>
            </w:tcMar>
          </w:tcPr>
          <w:p w14:paraId="465DE6AB"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lastRenderedPageBreak/>
              <w:t>Витрати були прийнятними (без неприйнятних компонентів), ідентифікованими та перевіреними, пов'язаними з проектом та понесеними учасником (підтвердження оплати, відсутність повторного виставлення рахунків іншим організаціям) протягом періоду дії проекту відповідно до його звичайної практики обліку витрат.</w:t>
            </w:r>
          </w:p>
        </w:tc>
        <w:tc>
          <w:tcPr>
            <w:tcW w:w="1375" w:type="dxa"/>
            <w:shd w:val="clear" w:color="auto" w:fill="auto"/>
            <w:tcMar>
              <w:top w:w="0" w:type="dxa"/>
              <w:left w:w="108" w:type="dxa"/>
              <w:bottom w:w="0" w:type="dxa"/>
              <w:right w:w="108" w:type="dxa"/>
            </w:tcMar>
          </w:tcPr>
          <w:p w14:paraId="1B67021E" w14:textId="77777777" w:rsidR="004111A3" w:rsidRDefault="00A909B0">
            <w:pPr>
              <w:spacing w:before="120" w:after="120"/>
              <w:rPr>
                <w:color w:val="000000"/>
                <w:sz w:val="20"/>
                <w:szCs w:val="20"/>
              </w:rPr>
            </w:pPr>
            <w:r>
              <w:rPr>
                <w:color w:val="000000"/>
                <w:sz w:val="20"/>
                <w:szCs w:val="20"/>
              </w:rPr>
              <w:t>ТАК / НІ / Н.З.</w:t>
            </w:r>
          </w:p>
        </w:tc>
      </w:tr>
      <w:tr w:rsidR="004111A3" w14:paraId="555B5858" w14:textId="77777777">
        <w:trPr>
          <w:gridAfter w:val="1"/>
          <w:wAfter w:w="7" w:type="dxa"/>
        </w:trPr>
        <w:tc>
          <w:tcPr>
            <w:tcW w:w="1091" w:type="dxa"/>
            <w:vMerge/>
          </w:tcPr>
          <w:p w14:paraId="0FB0278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73EA239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786429C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35A2991F"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Відряджений персонал підпадає під дію угоди про відрядження між учасником та роботодавцем відрядженої особи, відряджений персонал звітує перед учасником та працює на території учасника (якщо інше не погоджено з учасником).</w:t>
            </w:r>
          </w:p>
        </w:tc>
        <w:tc>
          <w:tcPr>
            <w:tcW w:w="1375" w:type="dxa"/>
            <w:shd w:val="clear" w:color="auto" w:fill="auto"/>
            <w:tcMar>
              <w:top w:w="0" w:type="dxa"/>
              <w:left w:w="108" w:type="dxa"/>
              <w:bottom w:w="0" w:type="dxa"/>
              <w:right w:w="108" w:type="dxa"/>
            </w:tcMar>
          </w:tcPr>
          <w:p w14:paraId="39D9032B" w14:textId="77777777" w:rsidR="004111A3" w:rsidRDefault="00A909B0">
            <w:pPr>
              <w:spacing w:before="120" w:after="120"/>
              <w:rPr>
                <w:color w:val="000000"/>
                <w:sz w:val="20"/>
                <w:szCs w:val="20"/>
              </w:rPr>
            </w:pPr>
            <w:r>
              <w:rPr>
                <w:color w:val="000000"/>
                <w:sz w:val="20"/>
                <w:szCs w:val="20"/>
              </w:rPr>
              <w:t>ТАК / НІ / Н.З.</w:t>
            </w:r>
          </w:p>
        </w:tc>
      </w:tr>
      <w:tr w:rsidR="004111A3" w14:paraId="77629ACE" w14:textId="77777777">
        <w:trPr>
          <w:gridAfter w:val="1"/>
          <w:wAfter w:w="7" w:type="dxa"/>
        </w:trPr>
        <w:tc>
          <w:tcPr>
            <w:tcW w:w="1091" w:type="dxa"/>
            <w:vMerge/>
          </w:tcPr>
          <w:p w14:paraId="2C590C0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6F2E224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57E60C8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2F7B984C"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Результати виконаних робіт належать учаснику, або, якщо це не так, учасник отримав всі необхідні права для виконання своїх зобов'язань так, як якщо б ці результати були створені ним самим (наприклад, шляхом отримання відповідних ліцензій).</w:t>
            </w:r>
          </w:p>
        </w:tc>
        <w:tc>
          <w:tcPr>
            <w:tcW w:w="1375" w:type="dxa"/>
            <w:shd w:val="clear" w:color="auto" w:fill="auto"/>
            <w:tcMar>
              <w:top w:w="0" w:type="dxa"/>
              <w:left w:w="108" w:type="dxa"/>
              <w:bottom w:w="0" w:type="dxa"/>
              <w:right w:w="108" w:type="dxa"/>
            </w:tcMar>
          </w:tcPr>
          <w:p w14:paraId="338E5BC0" w14:textId="77777777" w:rsidR="004111A3" w:rsidRDefault="00A909B0">
            <w:pPr>
              <w:spacing w:before="120" w:after="120"/>
              <w:rPr>
                <w:color w:val="000000"/>
                <w:sz w:val="20"/>
                <w:szCs w:val="20"/>
              </w:rPr>
            </w:pPr>
            <w:r>
              <w:rPr>
                <w:color w:val="000000"/>
                <w:sz w:val="20"/>
                <w:szCs w:val="20"/>
              </w:rPr>
              <w:t>ТАК / НІ / Н.З.</w:t>
            </w:r>
          </w:p>
        </w:tc>
      </w:tr>
      <w:tr w:rsidR="004111A3" w14:paraId="2A9F4AF4" w14:textId="77777777">
        <w:trPr>
          <w:gridAfter w:val="1"/>
          <w:wAfter w:w="7" w:type="dxa"/>
        </w:trPr>
        <w:tc>
          <w:tcPr>
            <w:tcW w:w="1091" w:type="dxa"/>
            <w:vMerge/>
          </w:tcPr>
          <w:p w14:paraId="1CD9CAA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6A40E97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5748A6C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19325358"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Їхні витрати суттєво не відрізнялися від витрат на персонал, який виконував аналогічні завдання за трудовим договором з учасником (або відмінності обґрунтовані у конкретному випадку відрядження з інших країн).</w:t>
            </w:r>
          </w:p>
        </w:tc>
        <w:tc>
          <w:tcPr>
            <w:tcW w:w="1375" w:type="dxa"/>
            <w:shd w:val="clear" w:color="auto" w:fill="auto"/>
            <w:tcMar>
              <w:top w:w="0" w:type="dxa"/>
              <w:left w:w="108" w:type="dxa"/>
              <w:bottom w:w="0" w:type="dxa"/>
              <w:right w:w="108" w:type="dxa"/>
            </w:tcMar>
          </w:tcPr>
          <w:p w14:paraId="3AB41BE7" w14:textId="77777777" w:rsidR="004111A3" w:rsidRDefault="00A909B0">
            <w:pPr>
              <w:spacing w:before="120" w:after="120"/>
              <w:rPr>
                <w:color w:val="000000"/>
                <w:sz w:val="20"/>
                <w:szCs w:val="20"/>
              </w:rPr>
            </w:pPr>
            <w:r>
              <w:rPr>
                <w:color w:val="000000"/>
                <w:sz w:val="20"/>
                <w:szCs w:val="20"/>
              </w:rPr>
              <w:t>ТАК / НІ / Н.З.</w:t>
            </w:r>
          </w:p>
        </w:tc>
      </w:tr>
      <w:tr w:rsidR="004111A3" w14:paraId="063299D8" w14:textId="77777777">
        <w:trPr>
          <w:gridAfter w:val="1"/>
          <w:wAfter w:w="7" w:type="dxa"/>
        </w:trPr>
        <w:tc>
          <w:tcPr>
            <w:tcW w:w="1091" w:type="dxa"/>
            <w:vMerge/>
          </w:tcPr>
          <w:p w14:paraId="3C0B4AE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18457F1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3D28B8B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5E443DBE"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Задекларовані витрати були підтверджені документально та відображені на рахунках учасника.</w:t>
            </w:r>
          </w:p>
        </w:tc>
        <w:tc>
          <w:tcPr>
            <w:tcW w:w="1375" w:type="dxa"/>
            <w:shd w:val="clear" w:color="auto" w:fill="auto"/>
            <w:tcMar>
              <w:top w:w="0" w:type="dxa"/>
              <w:left w:w="108" w:type="dxa"/>
              <w:bottom w:w="0" w:type="dxa"/>
              <w:right w:w="108" w:type="dxa"/>
            </w:tcMar>
          </w:tcPr>
          <w:p w14:paraId="7B01915D" w14:textId="77777777" w:rsidR="004111A3" w:rsidRDefault="00A909B0">
            <w:pPr>
              <w:spacing w:before="120" w:after="120"/>
              <w:rPr>
                <w:color w:val="000000"/>
                <w:sz w:val="20"/>
                <w:szCs w:val="20"/>
              </w:rPr>
            </w:pPr>
            <w:r>
              <w:rPr>
                <w:color w:val="000000"/>
                <w:sz w:val="20"/>
                <w:szCs w:val="20"/>
              </w:rPr>
              <w:t>ТАК / НІ / Н.З.</w:t>
            </w:r>
          </w:p>
        </w:tc>
      </w:tr>
      <w:tr w:rsidR="004111A3" w14:paraId="28C1A960" w14:textId="77777777">
        <w:trPr>
          <w:gridAfter w:val="1"/>
          <w:wAfter w:w="7" w:type="dxa"/>
        </w:trPr>
        <w:tc>
          <w:tcPr>
            <w:tcW w:w="1091" w:type="dxa"/>
            <w:vMerge/>
          </w:tcPr>
          <w:p w14:paraId="5E44AD1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51" w:type="dxa"/>
            <w:vMerge/>
          </w:tcPr>
          <w:p w14:paraId="0BB118F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8" w:type="dxa"/>
            <w:vMerge/>
            <w:shd w:val="clear" w:color="auto" w:fill="auto"/>
            <w:tcMar>
              <w:top w:w="0" w:type="dxa"/>
              <w:left w:w="108" w:type="dxa"/>
              <w:bottom w:w="0" w:type="dxa"/>
              <w:right w:w="108" w:type="dxa"/>
            </w:tcMar>
          </w:tcPr>
          <w:p w14:paraId="241835E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2" w:type="dxa"/>
            <w:gridSpan w:val="2"/>
            <w:shd w:val="clear" w:color="auto" w:fill="auto"/>
            <w:tcMar>
              <w:top w:w="0" w:type="dxa"/>
              <w:left w:w="108" w:type="dxa"/>
              <w:bottom w:w="0" w:type="dxa"/>
              <w:right w:w="108" w:type="dxa"/>
            </w:tcMar>
          </w:tcPr>
          <w:p w14:paraId="4FD93EF4"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Відрядження не спричинило жодного прибутку при розрахунку витрат на персонал для відрядженої особи (ні для учасника, ні для третьої сторони, що відрядила).</w:t>
            </w:r>
          </w:p>
        </w:tc>
        <w:tc>
          <w:tcPr>
            <w:tcW w:w="1375" w:type="dxa"/>
            <w:shd w:val="clear" w:color="auto" w:fill="auto"/>
            <w:tcMar>
              <w:top w:w="0" w:type="dxa"/>
              <w:left w:w="108" w:type="dxa"/>
              <w:bottom w:w="0" w:type="dxa"/>
              <w:right w:w="108" w:type="dxa"/>
            </w:tcMar>
          </w:tcPr>
          <w:p w14:paraId="5C50F486" w14:textId="77777777" w:rsidR="004111A3" w:rsidRDefault="00A909B0">
            <w:pPr>
              <w:spacing w:before="120" w:after="120"/>
              <w:rPr>
                <w:color w:val="000000"/>
                <w:sz w:val="20"/>
                <w:szCs w:val="20"/>
              </w:rPr>
            </w:pPr>
            <w:r>
              <w:rPr>
                <w:color w:val="000000"/>
                <w:sz w:val="20"/>
                <w:szCs w:val="20"/>
              </w:rPr>
              <w:t>ТАК / НІ / Н.З.</w:t>
            </w:r>
          </w:p>
        </w:tc>
      </w:tr>
      <w:tr w:rsidR="004111A3" w14:paraId="391107D3" w14:textId="77777777">
        <w:trPr>
          <w:gridAfter w:val="1"/>
          <w:wAfter w:w="7" w:type="dxa"/>
        </w:trPr>
        <w:tc>
          <w:tcPr>
            <w:tcW w:w="1091" w:type="dxa"/>
            <w:shd w:val="clear" w:color="auto" w:fill="EBF1DD"/>
          </w:tcPr>
          <w:p w14:paraId="288B828C" w14:textId="77777777" w:rsidR="004111A3" w:rsidRDefault="00A909B0">
            <w:pPr>
              <w:spacing w:before="120" w:after="120"/>
              <w:jc w:val="center"/>
              <w:rPr>
                <w:b/>
                <w:color w:val="000000"/>
                <w:sz w:val="20"/>
                <w:szCs w:val="20"/>
              </w:rPr>
            </w:pPr>
            <w:r>
              <w:rPr>
                <w:b/>
                <w:color w:val="000000"/>
                <w:sz w:val="20"/>
                <w:szCs w:val="20"/>
              </w:rPr>
              <w:t>Стаття 6.2.A.4</w:t>
            </w:r>
          </w:p>
        </w:tc>
        <w:tc>
          <w:tcPr>
            <w:tcW w:w="1051" w:type="dxa"/>
            <w:shd w:val="clear" w:color="auto" w:fill="EBF1DD"/>
          </w:tcPr>
          <w:p w14:paraId="0B1BF0F5" w14:textId="77777777" w:rsidR="004111A3" w:rsidRDefault="00A909B0">
            <w:pPr>
              <w:spacing w:before="120" w:after="120"/>
              <w:jc w:val="center"/>
              <w:rPr>
                <w:b/>
                <w:color w:val="000000"/>
                <w:sz w:val="20"/>
                <w:szCs w:val="20"/>
              </w:rPr>
            </w:pPr>
            <w:r>
              <w:rPr>
                <w:b/>
                <w:color w:val="000000"/>
                <w:sz w:val="20"/>
                <w:szCs w:val="20"/>
              </w:rPr>
              <w:t>A.4</w:t>
            </w:r>
          </w:p>
        </w:tc>
        <w:tc>
          <w:tcPr>
            <w:tcW w:w="12865" w:type="dxa"/>
            <w:gridSpan w:val="4"/>
            <w:shd w:val="clear" w:color="auto" w:fill="EBF1DD"/>
            <w:tcMar>
              <w:top w:w="0" w:type="dxa"/>
              <w:left w:w="108" w:type="dxa"/>
              <w:bottom w:w="0" w:type="dxa"/>
              <w:right w:w="108" w:type="dxa"/>
            </w:tcMar>
          </w:tcPr>
          <w:p w14:paraId="49F78E0B" w14:textId="77777777" w:rsidR="004111A3" w:rsidRDefault="00A909B0">
            <w:pPr>
              <w:spacing w:before="120" w:after="120"/>
              <w:rPr>
                <w:b/>
                <w:color w:val="000000"/>
                <w:sz w:val="20"/>
                <w:szCs w:val="20"/>
              </w:rPr>
            </w:pPr>
            <w:r>
              <w:rPr>
                <w:b/>
                <w:i/>
                <w:sz w:val="20"/>
                <w:szCs w:val="20"/>
              </w:rPr>
              <w:t>ВЛАСНИКИ МСП та фізичні особи-</w:t>
            </w:r>
            <w:proofErr w:type="spellStart"/>
            <w:r>
              <w:rPr>
                <w:b/>
                <w:i/>
                <w:sz w:val="20"/>
                <w:szCs w:val="20"/>
              </w:rPr>
              <w:t>бенефіціари</w:t>
            </w:r>
            <w:proofErr w:type="spellEnd"/>
            <w:r>
              <w:rPr>
                <w:i/>
                <w:color w:val="7030A0"/>
                <w:sz w:val="20"/>
                <w:szCs w:val="20"/>
              </w:rPr>
              <w:t xml:space="preserve"> (всі програми, крім SMP ESS, EUAF, CUST/FISC, CCEI, PERI)</w:t>
            </w:r>
          </w:p>
        </w:tc>
      </w:tr>
      <w:tr w:rsidR="004111A3" w14:paraId="2C985658" w14:textId="77777777">
        <w:tc>
          <w:tcPr>
            <w:tcW w:w="15014" w:type="dxa"/>
            <w:gridSpan w:val="7"/>
            <w:shd w:val="clear" w:color="auto" w:fill="F2F2F2"/>
          </w:tcPr>
          <w:p w14:paraId="5D65FC99" w14:textId="77777777" w:rsidR="004111A3" w:rsidRDefault="00A909B0">
            <w:pPr>
              <w:spacing w:before="120" w:after="120"/>
              <w:ind w:left="284"/>
              <w:rPr>
                <w:color w:val="000000"/>
                <w:sz w:val="20"/>
                <w:szCs w:val="20"/>
              </w:rPr>
            </w:pPr>
            <w:r>
              <w:rPr>
                <w:color w:val="000000"/>
                <w:sz w:val="20"/>
                <w:szCs w:val="20"/>
              </w:rPr>
              <w:t>N/A</w:t>
            </w:r>
          </w:p>
        </w:tc>
      </w:tr>
      <w:tr w:rsidR="004111A3" w14:paraId="1841AD57" w14:textId="77777777">
        <w:trPr>
          <w:gridAfter w:val="1"/>
          <w:wAfter w:w="7" w:type="dxa"/>
        </w:trPr>
        <w:tc>
          <w:tcPr>
            <w:tcW w:w="1091" w:type="dxa"/>
            <w:shd w:val="clear" w:color="auto" w:fill="EBF1DD"/>
          </w:tcPr>
          <w:p w14:paraId="6B3542DC" w14:textId="77777777" w:rsidR="004111A3" w:rsidRDefault="00A909B0">
            <w:pPr>
              <w:spacing w:before="120" w:after="120"/>
              <w:jc w:val="center"/>
              <w:rPr>
                <w:b/>
                <w:color w:val="000000"/>
                <w:sz w:val="20"/>
                <w:szCs w:val="20"/>
              </w:rPr>
            </w:pPr>
            <w:r>
              <w:rPr>
                <w:b/>
                <w:color w:val="000000"/>
                <w:sz w:val="20"/>
                <w:szCs w:val="20"/>
              </w:rPr>
              <w:t>Стаття 6.2.A.5</w:t>
            </w:r>
          </w:p>
        </w:tc>
        <w:tc>
          <w:tcPr>
            <w:tcW w:w="1051" w:type="dxa"/>
            <w:shd w:val="clear" w:color="auto" w:fill="EBF1DD"/>
          </w:tcPr>
          <w:p w14:paraId="7552EA67" w14:textId="77777777" w:rsidR="004111A3" w:rsidRDefault="00A909B0">
            <w:pPr>
              <w:spacing w:before="120" w:after="120"/>
              <w:jc w:val="center"/>
              <w:rPr>
                <w:b/>
                <w:color w:val="000000"/>
                <w:sz w:val="20"/>
                <w:szCs w:val="20"/>
              </w:rPr>
            </w:pPr>
            <w:r>
              <w:rPr>
                <w:b/>
                <w:color w:val="000000"/>
                <w:sz w:val="20"/>
                <w:szCs w:val="20"/>
              </w:rPr>
              <w:t>A.5</w:t>
            </w:r>
          </w:p>
        </w:tc>
        <w:tc>
          <w:tcPr>
            <w:tcW w:w="12865" w:type="dxa"/>
            <w:gridSpan w:val="4"/>
            <w:shd w:val="clear" w:color="auto" w:fill="EBF1DD"/>
            <w:tcMar>
              <w:top w:w="0" w:type="dxa"/>
              <w:left w:w="108" w:type="dxa"/>
              <w:bottom w:w="0" w:type="dxa"/>
              <w:right w:w="108" w:type="dxa"/>
            </w:tcMar>
          </w:tcPr>
          <w:p w14:paraId="08F7749F" w14:textId="77777777" w:rsidR="004111A3" w:rsidRDefault="00A909B0">
            <w:pPr>
              <w:spacing w:before="120" w:after="120"/>
              <w:rPr>
                <w:b/>
                <w:color w:val="000000"/>
                <w:sz w:val="20"/>
                <w:szCs w:val="20"/>
              </w:rPr>
            </w:pPr>
            <w:r>
              <w:rPr>
                <w:b/>
                <w:color w:val="000000"/>
                <w:sz w:val="20"/>
                <w:szCs w:val="20"/>
              </w:rPr>
              <w:t xml:space="preserve">ВОЛОНТЕРИ </w:t>
            </w:r>
            <w:r>
              <w:rPr>
                <w:color w:val="8064A2"/>
                <w:sz w:val="20"/>
                <w:szCs w:val="20"/>
              </w:rPr>
              <w:t>(ERDF-TA, LIFE, ERASMUS, CREA, CERV, JUST, ESF/SOCPL, AMIF/ISF/BMVI, UCPM)</w:t>
            </w:r>
          </w:p>
        </w:tc>
      </w:tr>
      <w:tr w:rsidR="004111A3" w14:paraId="60069DB5" w14:textId="77777777">
        <w:tc>
          <w:tcPr>
            <w:tcW w:w="15014" w:type="dxa"/>
            <w:gridSpan w:val="7"/>
            <w:shd w:val="clear" w:color="auto" w:fill="F2F2F2"/>
          </w:tcPr>
          <w:p w14:paraId="2AA39136" w14:textId="77777777" w:rsidR="004111A3" w:rsidRDefault="00A909B0">
            <w:pPr>
              <w:spacing w:before="120" w:after="120"/>
              <w:ind w:left="284"/>
              <w:rPr>
                <w:color w:val="000000"/>
                <w:sz w:val="20"/>
                <w:szCs w:val="20"/>
              </w:rPr>
            </w:pPr>
            <w:r>
              <w:rPr>
                <w:color w:val="000000"/>
                <w:sz w:val="20"/>
                <w:szCs w:val="20"/>
              </w:rPr>
              <w:t>N/A</w:t>
            </w:r>
          </w:p>
        </w:tc>
      </w:tr>
    </w:tbl>
    <w:p w14:paraId="78DD0177" w14:textId="77777777" w:rsidR="004111A3" w:rsidRDefault="004111A3"/>
    <w:p w14:paraId="518E34D4"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Витрати на субпідрядні роботи (B.)</w:t>
      </w:r>
    </w:p>
    <w:tbl>
      <w:tblPr>
        <w:tblStyle w:val="afff"/>
        <w:tblW w:w="15047"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143"/>
        <w:gridCol w:w="1140"/>
        <w:gridCol w:w="6371"/>
        <w:gridCol w:w="4969"/>
        <w:gridCol w:w="1418"/>
        <w:gridCol w:w="6"/>
      </w:tblGrid>
      <w:tr w:rsidR="004111A3" w14:paraId="6E573565" w14:textId="77777777">
        <w:trPr>
          <w:tblHeader/>
        </w:trPr>
        <w:tc>
          <w:tcPr>
            <w:tcW w:w="15047" w:type="dxa"/>
            <w:gridSpan w:val="6"/>
            <w:shd w:val="clear" w:color="auto" w:fill="EBF1DD"/>
          </w:tcPr>
          <w:p w14:paraId="578D99EE" w14:textId="77777777" w:rsidR="004111A3" w:rsidRDefault="00A909B0">
            <w:pPr>
              <w:spacing w:before="120" w:after="120"/>
              <w:ind w:left="142"/>
              <w:jc w:val="left"/>
              <w:rPr>
                <w:b/>
                <w:color w:val="FF0000"/>
                <w:sz w:val="20"/>
                <w:szCs w:val="20"/>
              </w:rPr>
            </w:pPr>
            <w:r>
              <w:rPr>
                <w:b/>
                <w:color w:val="FF0000"/>
                <w:sz w:val="20"/>
                <w:szCs w:val="20"/>
              </w:rPr>
              <w:lastRenderedPageBreak/>
              <w:t>Узгоджені процедури CFS - Витрати на субпідряд (B.)</w:t>
            </w:r>
          </w:p>
        </w:tc>
      </w:tr>
      <w:tr w:rsidR="004111A3" w14:paraId="7FC65488" w14:textId="77777777">
        <w:trPr>
          <w:gridAfter w:val="1"/>
          <w:wAfter w:w="6" w:type="dxa"/>
          <w:tblHeader/>
        </w:trPr>
        <w:tc>
          <w:tcPr>
            <w:tcW w:w="1143" w:type="dxa"/>
            <w:shd w:val="clear" w:color="auto" w:fill="EBF1DD"/>
          </w:tcPr>
          <w:p w14:paraId="22A86026" w14:textId="77777777" w:rsidR="004111A3" w:rsidRDefault="00A909B0">
            <w:pPr>
              <w:spacing w:before="120" w:after="120"/>
              <w:jc w:val="center"/>
              <w:rPr>
                <w:b/>
                <w:color w:val="000000"/>
                <w:sz w:val="20"/>
                <w:szCs w:val="20"/>
              </w:rPr>
            </w:pPr>
            <w:bookmarkStart w:id="3" w:name="bookmark=id.jvtpq94d8kr2" w:colFirst="0" w:colLast="0"/>
            <w:bookmarkStart w:id="4" w:name="_heading=h.emzi40avjtaz" w:colFirst="0" w:colLast="0"/>
            <w:bookmarkEnd w:id="3"/>
            <w:bookmarkEnd w:id="4"/>
            <w:r>
              <w:rPr>
                <w:b/>
                <w:color w:val="000000"/>
                <w:sz w:val="20"/>
                <w:szCs w:val="20"/>
              </w:rPr>
              <w:t>Стаття Грантової Угоди</w:t>
            </w:r>
          </w:p>
        </w:tc>
        <w:tc>
          <w:tcPr>
            <w:tcW w:w="1140" w:type="dxa"/>
            <w:shd w:val="clear" w:color="auto" w:fill="EBF1DD"/>
            <w:vAlign w:val="center"/>
          </w:tcPr>
          <w:p w14:paraId="307D6068"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371" w:type="dxa"/>
            <w:shd w:val="clear" w:color="auto" w:fill="EBF1DD"/>
            <w:tcMar>
              <w:top w:w="0" w:type="dxa"/>
              <w:left w:w="108" w:type="dxa"/>
              <w:bottom w:w="0" w:type="dxa"/>
              <w:right w:w="108" w:type="dxa"/>
            </w:tcMar>
            <w:vAlign w:val="center"/>
          </w:tcPr>
          <w:p w14:paraId="54E83E03" w14:textId="77777777" w:rsidR="004111A3" w:rsidRDefault="00A909B0">
            <w:pPr>
              <w:spacing w:before="120" w:after="120"/>
              <w:jc w:val="center"/>
              <w:rPr>
                <w:b/>
                <w:color w:val="000000"/>
                <w:sz w:val="20"/>
                <w:szCs w:val="20"/>
              </w:rPr>
            </w:pPr>
            <w:r>
              <w:rPr>
                <w:b/>
                <w:color w:val="000000"/>
                <w:sz w:val="20"/>
                <w:szCs w:val="20"/>
              </w:rPr>
              <w:t>Процедури</w:t>
            </w:r>
          </w:p>
        </w:tc>
        <w:tc>
          <w:tcPr>
            <w:tcW w:w="4969" w:type="dxa"/>
            <w:shd w:val="clear" w:color="auto" w:fill="EBF1DD"/>
            <w:tcMar>
              <w:top w:w="0" w:type="dxa"/>
              <w:left w:w="108" w:type="dxa"/>
              <w:bottom w:w="0" w:type="dxa"/>
              <w:right w:w="108" w:type="dxa"/>
            </w:tcMar>
            <w:vAlign w:val="center"/>
          </w:tcPr>
          <w:p w14:paraId="6C9FD6D3"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418" w:type="dxa"/>
            <w:shd w:val="clear" w:color="auto" w:fill="EBF1DD"/>
            <w:tcMar>
              <w:top w:w="0" w:type="dxa"/>
              <w:left w:w="108" w:type="dxa"/>
              <w:bottom w:w="0" w:type="dxa"/>
              <w:right w:w="108" w:type="dxa"/>
            </w:tcMar>
            <w:vAlign w:val="center"/>
          </w:tcPr>
          <w:p w14:paraId="4B013F68" w14:textId="77777777" w:rsidR="004111A3" w:rsidRDefault="00A909B0">
            <w:pPr>
              <w:spacing w:before="120" w:after="120"/>
              <w:jc w:val="center"/>
              <w:rPr>
                <w:b/>
                <w:color w:val="000000"/>
                <w:sz w:val="20"/>
                <w:szCs w:val="20"/>
              </w:rPr>
            </w:pPr>
            <w:r>
              <w:rPr>
                <w:b/>
                <w:color w:val="000000"/>
                <w:sz w:val="20"/>
                <w:szCs w:val="20"/>
              </w:rPr>
              <w:t>Результат</w:t>
            </w:r>
          </w:p>
          <w:p w14:paraId="09EA6235" w14:textId="77777777" w:rsidR="004111A3" w:rsidRDefault="00A909B0">
            <w:pPr>
              <w:spacing w:before="120" w:after="120"/>
              <w:ind w:left="-107"/>
              <w:jc w:val="center"/>
              <w:rPr>
                <w:b/>
                <w:color w:val="000000"/>
                <w:sz w:val="20"/>
                <w:szCs w:val="20"/>
              </w:rPr>
            </w:pPr>
            <w:r>
              <w:rPr>
                <w:b/>
                <w:color w:val="000000"/>
                <w:sz w:val="20"/>
                <w:szCs w:val="20"/>
              </w:rPr>
              <w:t>(ТАК / НІ / Н.З.)</w:t>
            </w:r>
          </w:p>
        </w:tc>
      </w:tr>
      <w:tr w:rsidR="004111A3" w14:paraId="6868DC81" w14:textId="77777777">
        <w:trPr>
          <w:gridAfter w:val="1"/>
          <w:wAfter w:w="6" w:type="dxa"/>
        </w:trPr>
        <w:tc>
          <w:tcPr>
            <w:tcW w:w="1143" w:type="dxa"/>
            <w:shd w:val="clear" w:color="auto" w:fill="EBF1DD"/>
          </w:tcPr>
          <w:p w14:paraId="76A5D7F8" w14:textId="77777777" w:rsidR="004111A3" w:rsidRDefault="00A909B0">
            <w:pPr>
              <w:spacing w:before="120" w:after="120"/>
              <w:jc w:val="center"/>
              <w:rPr>
                <w:b/>
                <w:color w:val="000000"/>
                <w:sz w:val="20"/>
                <w:szCs w:val="20"/>
              </w:rPr>
            </w:pPr>
            <w:r>
              <w:rPr>
                <w:b/>
                <w:color w:val="000000"/>
                <w:sz w:val="20"/>
                <w:szCs w:val="20"/>
              </w:rPr>
              <w:t>Стаття 6.2.B</w:t>
            </w:r>
          </w:p>
        </w:tc>
        <w:tc>
          <w:tcPr>
            <w:tcW w:w="1140" w:type="dxa"/>
            <w:shd w:val="clear" w:color="auto" w:fill="EBF1DD"/>
            <w:vAlign w:val="center"/>
          </w:tcPr>
          <w:p w14:paraId="535B3AF5" w14:textId="77777777" w:rsidR="004111A3" w:rsidRDefault="00A909B0">
            <w:pPr>
              <w:spacing w:before="120" w:after="120"/>
              <w:jc w:val="center"/>
              <w:rPr>
                <w:b/>
                <w:color w:val="000000"/>
                <w:sz w:val="20"/>
                <w:szCs w:val="20"/>
              </w:rPr>
            </w:pPr>
            <w:r>
              <w:rPr>
                <w:b/>
                <w:color w:val="000000"/>
                <w:sz w:val="20"/>
                <w:szCs w:val="20"/>
              </w:rPr>
              <w:t>B.</w:t>
            </w:r>
          </w:p>
        </w:tc>
        <w:tc>
          <w:tcPr>
            <w:tcW w:w="12758" w:type="dxa"/>
            <w:gridSpan w:val="3"/>
            <w:shd w:val="clear" w:color="auto" w:fill="EBF1DD"/>
            <w:tcMar>
              <w:top w:w="0" w:type="dxa"/>
              <w:left w:w="108" w:type="dxa"/>
              <w:bottom w:w="0" w:type="dxa"/>
              <w:right w:w="108" w:type="dxa"/>
            </w:tcMar>
            <w:vAlign w:val="center"/>
          </w:tcPr>
          <w:p w14:paraId="6DF19833" w14:textId="77777777" w:rsidR="004111A3" w:rsidRDefault="00A909B0">
            <w:pPr>
              <w:spacing w:before="120" w:after="120"/>
              <w:rPr>
                <w:b/>
                <w:color w:val="000000"/>
                <w:sz w:val="20"/>
                <w:szCs w:val="20"/>
                <w:highlight w:val="yellow"/>
              </w:rPr>
            </w:pPr>
            <w:r>
              <w:rPr>
                <w:b/>
                <w:color w:val="000000"/>
                <w:sz w:val="20"/>
                <w:szCs w:val="20"/>
              </w:rPr>
              <w:t>ВИТРАТИ НА СУБПІДРЯД</w:t>
            </w:r>
          </w:p>
        </w:tc>
      </w:tr>
      <w:tr w:rsidR="004111A3" w14:paraId="35FBD6D9" w14:textId="77777777">
        <w:trPr>
          <w:gridAfter w:val="1"/>
          <w:wAfter w:w="6" w:type="dxa"/>
        </w:trPr>
        <w:tc>
          <w:tcPr>
            <w:tcW w:w="1143" w:type="dxa"/>
            <w:vMerge w:val="restart"/>
          </w:tcPr>
          <w:p w14:paraId="19E023FF" w14:textId="77777777" w:rsidR="004111A3" w:rsidRDefault="00A909B0">
            <w:pPr>
              <w:spacing w:before="120" w:after="120"/>
              <w:jc w:val="center"/>
              <w:rPr>
                <w:b/>
                <w:color w:val="000000"/>
                <w:sz w:val="20"/>
                <w:szCs w:val="20"/>
              </w:rPr>
            </w:pPr>
            <w:r>
              <w:rPr>
                <w:b/>
                <w:color w:val="000000"/>
                <w:sz w:val="20"/>
                <w:szCs w:val="20"/>
              </w:rPr>
              <w:t>Стаття 6.2.B</w:t>
            </w:r>
          </w:p>
        </w:tc>
        <w:tc>
          <w:tcPr>
            <w:tcW w:w="1140" w:type="dxa"/>
            <w:vMerge w:val="restart"/>
          </w:tcPr>
          <w:p w14:paraId="46D1AD07" w14:textId="77777777" w:rsidR="004111A3" w:rsidRDefault="00A909B0">
            <w:pPr>
              <w:spacing w:before="120" w:after="120"/>
              <w:jc w:val="center"/>
              <w:rPr>
                <w:b/>
                <w:color w:val="000000"/>
                <w:sz w:val="20"/>
                <w:szCs w:val="20"/>
              </w:rPr>
            </w:pPr>
            <w:r>
              <w:rPr>
                <w:b/>
                <w:color w:val="000000"/>
                <w:sz w:val="20"/>
                <w:szCs w:val="20"/>
              </w:rPr>
              <w:t>B. УКЛАДАННЯ СУБПІДРЯДНИХ ДОГОВОРІВ</w:t>
            </w:r>
          </w:p>
        </w:tc>
        <w:tc>
          <w:tcPr>
            <w:tcW w:w="6371" w:type="dxa"/>
            <w:shd w:val="clear" w:color="auto" w:fill="auto"/>
            <w:tcMar>
              <w:top w:w="0" w:type="dxa"/>
              <w:left w:w="108" w:type="dxa"/>
              <w:bottom w:w="0" w:type="dxa"/>
              <w:right w:w="108" w:type="dxa"/>
            </w:tcMar>
          </w:tcPr>
          <w:p w14:paraId="74E7B2A4" w14:textId="77777777" w:rsidR="004111A3" w:rsidRDefault="00A909B0">
            <w:pPr>
              <w:spacing w:before="120" w:after="120"/>
              <w:jc w:val="left"/>
              <w:rPr>
                <w:b/>
                <w:sz w:val="20"/>
                <w:szCs w:val="20"/>
              </w:rPr>
            </w:pPr>
            <w:r>
              <w:rPr>
                <w:b/>
                <w:i/>
                <w:sz w:val="20"/>
                <w:szCs w:val="20"/>
              </w:rPr>
              <w:t>Спеціаліст формує вибірку для проведення процедур за цією категорією витрат. Вибірка повинна бути відібрана випадковим чином. Вона повинна охоплювати 10% всіх субпідрядних договорів, за якими були задекларовані витрати, з мінімальною вибіркою в 10 субпідрядних договорів (або всі, якщо було задекларовано менше 10 субпідрядних договорів).</w:t>
            </w:r>
          </w:p>
          <w:p w14:paraId="77BD3A41" w14:textId="77777777" w:rsidR="004111A3" w:rsidRDefault="00A909B0">
            <w:pPr>
              <w:spacing w:before="120" w:after="120"/>
              <w:jc w:val="left"/>
              <w:rPr>
                <w:color w:val="000000"/>
                <w:sz w:val="20"/>
                <w:szCs w:val="20"/>
              </w:rPr>
            </w:pPr>
            <w:r>
              <w:rPr>
                <w:color w:val="000000"/>
                <w:sz w:val="20"/>
                <w:szCs w:val="20"/>
              </w:rPr>
              <w:t xml:space="preserve">Фахівець зробив вибірку </w:t>
            </w:r>
            <w:r>
              <w:rPr>
                <w:color w:val="000000"/>
                <w:sz w:val="20"/>
                <w:szCs w:val="20"/>
                <w:highlight w:val="lightGray"/>
              </w:rPr>
              <w:t>_____</w:t>
            </w:r>
            <w:r>
              <w:rPr>
                <w:color w:val="000000"/>
                <w:sz w:val="20"/>
                <w:szCs w:val="20"/>
              </w:rPr>
              <w:t xml:space="preserve"> субпідрядів із загальної кількості </w:t>
            </w:r>
            <w:r>
              <w:rPr>
                <w:color w:val="000000"/>
                <w:sz w:val="20"/>
                <w:szCs w:val="20"/>
                <w:highlight w:val="lightGray"/>
              </w:rPr>
              <w:t>_____</w:t>
            </w:r>
            <w:r>
              <w:rPr>
                <w:color w:val="000000"/>
                <w:sz w:val="20"/>
                <w:szCs w:val="20"/>
              </w:rPr>
              <w:t>.</w:t>
            </w:r>
            <w:r>
              <w:rPr>
                <w:b/>
                <w:color w:val="000000"/>
                <w:sz w:val="20"/>
                <w:szCs w:val="20"/>
              </w:rPr>
              <w:t xml:space="preserve"> </w:t>
            </w:r>
          </w:p>
        </w:tc>
        <w:tc>
          <w:tcPr>
            <w:tcW w:w="4969" w:type="dxa"/>
            <w:shd w:val="clear" w:color="auto" w:fill="F2F2F2"/>
            <w:tcMar>
              <w:top w:w="0" w:type="dxa"/>
              <w:left w:w="108" w:type="dxa"/>
              <w:bottom w:w="0" w:type="dxa"/>
              <w:right w:w="108" w:type="dxa"/>
            </w:tcMar>
          </w:tcPr>
          <w:p w14:paraId="3170D968" w14:textId="77777777" w:rsidR="004111A3" w:rsidRDefault="004111A3">
            <w:pPr>
              <w:spacing w:before="120" w:after="120"/>
              <w:rPr>
                <w:sz w:val="20"/>
                <w:szCs w:val="20"/>
              </w:rPr>
            </w:pPr>
          </w:p>
        </w:tc>
        <w:tc>
          <w:tcPr>
            <w:tcW w:w="1418" w:type="dxa"/>
            <w:shd w:val="clear" w:color="auto" w:fill="F2F2F2"/>
            <w:tcMar>
              <w:top w:w="0" w:type="dxa"/>
              <w:left w:w="108" w:type="dxa"/>
              <w:bottom w:w="0" w:type="dxa"/>
              <w:right w:w="108" w:type="dxa"/>
            </w:tcMar>
          </w:tcPr>
          <w:p w14:paraId="5151461E" w14:textId="77777777" w:rsidR="004111A3" w:rsidRDefault="004111A3">
            <w:pPr>
              <w:spacing w:before="120" w:after="120"/>
              <w:rPr>
                <w:color w:val="000000"/>
                <w:sz w:val="20"/>
                <w:szCs w:val="20"/>
              </w:rPr>
            </w:pPr>
          </w:p>
        </w:tc>
      </w:tr>
      <w:tr w:rsidR="004111A3" w14:paraId="0670A8EB" w14:textId="77777777">
        <w:trPr>
          <w:gridAfter w:val="1"/>
          <w:wAfter w:w="6" w:type="dxa"/>
        </w:trPr>
        <w:tc>
          <w:tcPr>
            <w:tcW w:w="1143" w:type="dxa"/>
            <w:vMerge/>
          </w:tcPr>
          <w:p w14:paraId="196E168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40" w:type="dxa"/>
            <w:vMerge/>
          </w:tcPr>
          <w:p w14:paraId="2F630EC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71" w:type="dxa"/>
            <w:vMerge w:val="restart"/>
            <w:shd w:val="clear" w:color="auto" w:fill="auto"/>
            <w:tcMar>
              <w:top w:w="0" w:type="dxa"/>
              <w:left w:w="108" w:type="dxa"/>
              <w:bottom w:w="0" w:type="dxa"/>
              <w:right w:w="108" w:type="dxa"/>
            </w:tcMar>
          </w:tcPr>
          <w:p w14:paraId="063A20E4" w14:textId="77777777" w:rsidR="004111A3" w:rsidRDefault="00A909B0">
            <w:pPr>
              <w:spacing w:before="120" w:after="120"/>
              <w:jc w:val="left"/>
              <w:rPr>
                <w:color w:val="000000"/>
                <w:sz w:val="20"/>
                <w:szCs w:val="20"/>
              </w:rPr>
            </w:pPr>
            <w:r>
              <w:rPr>
                <w:b/>
                <w:i/>
                <w:color w:val="000000"/>
                <w:sz w:val="20"/>
                <w:szCs w:val="20"/>
              </w:rPr>
              <w:t>Для субпідрядних договорів, включених до вибірки:</w:t>
            </w:r>
          </w:p>
          <w:p w14:paraId="7F0C7A54" w14:textId="77777777" w:rsidR="004111A3" w:rsidRDefault="00A909B0">
            <w:pPr>
              <w:spacing w:before="120" w:after="120"/>
              <w:jc w:val="left"/>
              <w:rPr>
                <w:color w:val="000000"/>
                <w:sz w:val="20"/>
                <w:szCs w:val="20"/>
              </w:rPr>
            </w:pPr>
            <w:r>
              <w:rPr>
                <w:color w:val="000000"/>
                <w:sz w:val="20"/>
                <w:szCs w:val="20"/>
              </w:rPr>
              <w:t>Спеціаліст здійснив загальну перевірку прийнятності та неприйнятності витрат (див. вище).</w:t>
            </w:r>
          </w:p>
          <w:p w14:paraId="1CBDEEDD" w14:textId="77777777" w:rsidR="004111A3" w:rsidRDefault="00A909B0">
            <w:pPr>
              <w:spacing w:before="120" w:after="120"/>
              <w:jc w:val="left"/>
              <w:rPr>
                <w:color w:val="000000"/>
                <w:sz w:val="20"/>
                <w:szCs w:val="20"/>
              </w:rPr>
            </w:pPr>
            <w:r>
              <w:rPr>
                <w:color w:val="000000"/>
                <w:sz w:val="20"/>
                <w:szCs w:val="20"/>
              </w:rPr>
              <w:t>Щоб підтвердити стандартні висновки, наведені в наступній колонці, фахівець перевірив що:</w:t>
            </w:r>
          </w:p>
          <w:p w14:paraId="3D8161FC"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використання субпідрядників було передбачено в Додатку 1 ГУ (або задекларовано за процедурою "спрощеного затвердження", якщо це дозволено Грантовою угодою; див. статтю 6.2.B). 6.2.B)</w:t>
            </w:r>
          </w:p>
          <w:p w14:paraId="2798E840"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загальна кошторисна вартість субпідряду викладена в Додатку 2 ГУ (або задекларована за процедурою "спрощеного затвердження", якщо це дозволено Грантовою угодою; див. статтю 6.2.B). 6.2.B)</w:t>
            </w:r>
          </w:p>
          <w:p w14:paraId="3012A1B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на субпідряд були задекларовані в категорії субпідряду у фінансовій звітності</w:t>
            </w:r>
          </w:p>
          <w:p w14:paraId="55D2A160"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на субпідряд, задекларовані у фінансовій звітності, узгоджуються з даними бухгалтерського обліку</w:t>
            </w:r>
          </w:p>
          <w:p w14:paraId="0C85CD0D"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lastRenderedPageBreak/>
              <w:t>заявлені витрати можна простежити на основі банківських виписок із зазначенням сплаченої суми та дати платежу учасника</w:t>
            </w:r>
          </w:p>
          <w:p w14:paraId="041811C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є підтверджуючі документи, які доводять, що процедура відбору та присудження контракту ґрунтувалася на звичайній практиці </w:t>
            </w:r>
            <w:proofErr w:type="spellStart"/>
            <w:r>
              <w:rPr>
                <w:color w:val="000000"/>
                <w:sz w:val="20"/>
                <w:szCs w:val="20"/>
              </w:rPr>
              <w:t>закупівель</w:t>
            </w:r>
            <w:proofErr w:type="spellEnd"/>
            <w:r>
              <w:rPr>
                <w:color w:val="000000"/>
                <w:sz w:val="20"/>
                <w:szCs w:val="20"/>
              </w:rPr>
              <w:t xml:space="preserve"> учасника та, у відповідних випадках, на національному законодавстві про державні закупівлі</w:t>
            </w:r>
          </w:p>
          <w:p w14:paraId="2A6F305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субпідряди були присуджені із застосуванням звичайних закупівельних практик/внутрішніх процедур учасника, що забезпечують найкраще співвідношення ціни та якості (або, у відповідних випадках, найнижчу ціну) і що існують процедури, які гарантують відсутність конфлікту інтересів учасника:</w:t>
            </w:r>
          </w:p>
          <w:p w14:paraId="069EA87E" w14:textId="77777777" w:rsidR="004111A3" w:rsidRDefault="00A909B0">
            <w:pPr>
              <w:numPr>
                <w:ilvl w:val="1"/>
                <w:numId w:val="2"/>
              </w:numPr>
              <w:pBdr>
                <w:top w:val="nil"/>
                <w:left w:val="nil"/>
                <w:bottom w:val="nil"/>
                <w:right w:val="nil"/>
                <w:between w:val="nil"/>
              </w:pBdr>
              <w:spacing w:before="120" w:after="120"/>
              <w:ind w:left="888"/>
              <w:jc w:val="left"/>
              <w:rPr>
                <w:color w:val="000000"/>
                <w:sz w:val="20"/>
                <w:szCs w:val="20"/>
              </w:rPr>
            </w:pPr>
            <w:r>
              <w:rPr>
                <w:color w:val="000000"/>
                <w:sz w:val="20"/>
                <w:szCs w:val="20"/>
              </w:rPr>
              <w:t>перевірка процесу присудження субпідряду, включаючи оцінку тендерних пропозицій та процес відбору, щоб переконатися, що присудження відповідало оцінці відповідно до вимог, встановлених для субпідряду, і що персонал учасників, залучений до процедури присудження, підпадає під дію правил щодо конфлікту інтересів (наприклад, вимагаючи від них декларувати конфлікт інтересів).</w:t>
            </w:r>
          </w:p>
          <w:p w14:paraId="0FB29B4E" w14:textId="77777777" w:rsidR="004111A3" w:rsidRDefault="00A909B0">
            <w:pPr>
              <w:numPr>
                <w:ilvl w:val="1"/>
                <w:numId w:val="2"/>
              </w:numPr>
              <w:pBdr>
                <w:top w:val="nil"/>
                <w:left w:val="nil"/>
                <w:bottom w:val="nil"/>
                <w:right w:val="nil"/>
                <w:between w:val="nil"/>
              </w:pBdr>
              <w:spacing w:before="120" w:after="120"/>
              <w:ind w:left="888"/>
              <w:jc w:val="left"/>
              <w:rPr>
                <w:color w:val="000000"/>
                <w:sz w:val="20"/>
                <w:szCs w:val="20"/>
              </w:rPr>
            </w:pPr>
            <w:r>
              <w:rPr>
                <w:color w:val="000000"/>
                <w:sz w:val="20"/>
                <w:szCs w:val="20"/>
              </w:rPr>
              <w:t>перевірка кваліфікації субпідрядника: щоб переконатися, що вона відповідає вимогам, встановленим для субпідряду</w:t>
            </w:r>
          </w:p>
          <w:p w14:paraId="51FCB549" w14:textId="77777777" w:rsidR="004111A3" w:rsidRDefault="00A909B0">
            <w:pPr>
              <w:numPr>
                <w:ilvl w:val="1"/>
                <w:numId w:val="2"/>
              </w:numPr>
              <w:pBdr>
                <w:top w:val="nil"/>
                <w:left w:val="nil"/>
                <w:bottom w:val="nil"/>
                <w:right w:val="nil"/>
                <w:between w:val="nil"/>
              </w:pBdr>
              <w:spacing w:before="120" w:after="120"/>
              <w:ind w:left="888"/>
              <w:jc w:val="left"/>
              <w:rPr>
                <w:color w:val="000000"/>
                <w:sz w:val="20"/>
                <w:szCs w:val="20"/>
              </w:rPr>
            </w:pPr>
            <w:r>
              <w:rPr>
                <w:i/>
                <w:color w:val="000000"/>
                <w:sz w:val="20"/>
                <w:szCs w:val="20"/>
              </w:rPr>
              <w:t xml:space="preserve">перевірка </w:t>
            </w:r>
            <w:proofErr w:type="spellStart"/>
            <w:r>
              <w:rPr>
                <w:i/>
                <w:color w:val="000000"/>
                <w:sz w:val="20"/>
                <w:szCs w:val="20"/>
              </w:rPr>
              <w:t>субконтракту</w:t>
            </w:r>
            <w:proofErr w:type="spellEnd"/>
            <w:r>
              <w:rPr>
                <w:i/>
                <w:color w:val="000000"/>
                <w:sz w:val="20"/>
                <w:szCs w:val="20"/>
              </w:rPr>
              <w:t xml:space="preserve"> на предмет наявності в ньому положень про конфлікт інтересів (наприклад, вимоги до субпідрядника повідомляти про будь-які конфлікти інтересів)</w:t>
            </w:r>
          </w:p>
          <w:p w14:paraId="66C382F7" w14:textId="77777777" w:rsidR="004111A3" w:rsidRDefault="00A909B0">
            <w:pPr>
              <w:numPr>
                <w:ilvl w:val="1"/>
                <w:numId w:val="2"/>
              </w:numPr>
              <w:pBdr>
                <w:top w:val="nil"/>
                <w:left w:val="nil"/>
                <w:bottom w:val="nil"/>
                <w:right w:val="nil"/>
                <w:between w:val="nil"/>
              </w:pBdr>
              <w:spacing w:before="120" w:after="120"/>
              <w:ind w:left="888"/>
              <w:jc w:val="left"/>
              <w:rPr>
                <w:color w:val="000000"/>
                <w:sz w:val="20"/>
                <w:szCs w:val="20"/>
              </w:rPr>
            </w:pPr>
            <w:r>
              <w:rPr>
                <w:color w:val="000000"/>
                <w:sz w:val="20"/>
                <w:szCs w:val="20"/>
              </w:rPr>
              <w:t xml:space="preserve">отримання письмового підтвердження від учасника, що субпідряди були присуджені відповідно до принципу </w:t>
            </w:r>
            <w:r>
              <w:rPr>
                <w:color w:val="000000"/>
                <w:sz w:val="20"/>
                <w:szCs w:val="20"/>
              </w:rPr>
              <w:lastRenderedPageBreak/>
              <w:t>найкращого співвідношення ціни та якості та відсутності конфлікту інтересів.</w:t>
            </w:r>
          </w:p>
          <w:p w14:paraId="75842893" w14:textId="77777777" w:rsidR="004111A3" w:rsidRDefault="00A909B0">
            <w:pPr>
              <w:spacing w:before="120" w:after="120"/>
              <w:jc w:val="left"/>
              <w:rPr>
                <w:color w:val="000000"/>
                <w:sz w:val="20"/>
                <w:szCs w:val="20"/>
              </w:rPr>
            </w:pPr>
            <w:r>
              <w:rPr>
                <w:color w:val="000000"/>
                <w:sz w:val="20"/>
                <w:szCs w:val="20"/>
              </w:rPr>
              <w:t>Для учасників, які є "замовниками/організаціями" у розумінні Директив ЄС про державні закупівлі 2014/24/ЄС, 2014/25/ЄС або 2009/81/ЄС, фахівець перевірив відповідність субпідряду застосовному національному законодавству про державні закупівлі.</w:t>
            </w:r>
          </w:p>
          <w:p w14:paraId="6A15905A" w14:textId="77777777" w:rsidR="004111A3" w:rsidRDefault="00A909B0">
            <w:pPr>
              <w:spacing w:before="120" w:after="120"/>
              <w:jc w:val="left"/>
              <w:rPr>
                <w:color w:val="000000"/>
                <w:sz w:val="20"/>
                <w:szCs w:val="20"/>
              </w:rPr>
            </w:pPr>
            <w:r>
              <w:rPr>
                <w:color w:val="000000"/>
                <w:sz w:val="20"/>
                <w:szCs w:val="20"/>
              </w:rPr>
              <w:t xml:space="preserve">Фахівець-практик також проаналізував </w:t>
            </w:r>
            <w:proofErr w:type="spellStart"/>
            <w:r>
              <w:rPr>
                <w:color w:val="000000"/>
                <w:sz w:val="20"/>
                <w:szCs w:val="20"/>
              </w:rPr>
              <w:t>субконтракти</w:t>
            </w:r>
            <w:proofErr w:type="spellEnd"/>
            <w:r>
              <w:rPr>
                <w:color w:val="000000"/>
                <w:sz w:val="20"/>
                <w:szCs w:val="20"/>
              </w:rPr>
              <w:t>, щоб виявити, що договірні зобов'язання учасника за Грантовою угодою також покладаються на субпідрядників (ст. 9.3 ГУ):</w:t>
            </w:r>
          </w:p>
          <w:p w14:paraId="584FBDC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 належна реалізація</w:t>
            </w:r>
          </w:p>
          <w:p w14:paraId="062FBF5B"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 конфлікт інтересів</w:t>
            </w:r>
          </w:p>
          <w:p w14:paraId="70CCAD8B"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 конфіденційність та безпека</w:t>
            </w:r>
          </w:p>
          <w:p w14:paraId="772AA32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 етика та цінності </w:t>
            </w:r>
          </w:p>
          <w:p w14:paraId="39C1301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Наочність</w:t>
            </w:r>
          </w:p>
          <w:p w14:paraId="435E82A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 інші конкретні правила проведення акції</w:t>
            </w:r>
          </w:p>
          <w:p w14:paraId="1BC6FF29"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 інформаційні зобов'язання</w:t>
            </w:r>
          </w:p>
          <w:p w14:paraId="3C378E1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ведення документації</w:t>
            </w:r>
          </w:p>
          <w:p w14:paraId="3A535CD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перевірки, огляди, аудити, розслідування, права органу, що надає дозвіл, OLAF, ECA та EPPO.</w:t>
            </w:r>
          </w:p>
          <w:p w14:paraId="2B1DF622" w14:textId="77777777" w:rsidR="004111A3" w:rsidRDefault="00A909B0">
            <w:pPr>
              <w:spacing w:before="120" w:after="120"/>
              <w:jc w:val="left"/>
              <w:rPr>
                <w:color w:val="000000"/>
                <w:sz w:val="20"/>
                <w:szCs w:val="20"/>
              </w:rPr>
            </w:pPr>
            <w:r>
              <w:rPr>
                <w:color w:val="000000"/>
                <w:sz w:val="20"/>
                <w:szCs w:val="20"/>
              </w:rPr>
              <w:t>Крім того, фахівець також перевірив що:</w:t>
            </w:r>
          </w:p>
          <w:p w14:paraId="37782F2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між учасником та субпідрядником були підписані договори</w:t>
            </w:r>
          </w:p>
          <w:p w14:paraId="18B59282"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субпідряди не були надані іншим учасникам або афілійованим організаціям, за винятком випадків, коли вони мають рамковий договір або афілійована організація є їхнім звичайним постачальником, а ціна субпідряду відповідає ринковим умовам</w:t>
            </w:r>
          </w:p>
          <w:p w14:paraId="08C2469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були докази того, що послуги надавалися субпідрядником.</w:t>
            </w:r>
          </w:p>
          <w:p w14:paraId="2019EB24" w14:textId="77777777" w:rsidR="004111A3" w:rsidRDefault="00A909B0">
            <w:pPr>
              <w:spacing w:before="120" w:after="120"/>
              <w:rPr>
                <w:color w:val="000000"/>
                <w:sz w:val="20"/>
                <w:szCs w:val="20"/>
              </w:rPr>
            </w:pPr>
            <w:r>
              <w:rPr>
                <w:color w:val="000000"/>
                <w:sz w:val="20"/>
                <w:szCs w:val="20"/>
              </w:rPr>
              <w:lastRenderedPageBreak/>
              <w:t>У випадку рамкових контрактів фахівець перевірив, що вибір постачальника здійснювався відповідно до звичайної практики учасника і присудження контракту відбувалося на основі найкращого співвідношення ціни та якості або найнижчої ціни, а також відсутності конфлікту інтересів. Рамковий договір не обов'язково повинен бути укладений до початку реалізації проекту.</w:t>
            </w:r>
          </w:p>
        </w:tc>
        <w:tc>
          <w:tcPr>
            <w:tcW w:w="4969" w:type="dxa"/>
            <w:shd w:val="clear" w:color="auto" w:fill="auto"/>
            <w:tcMar>
              <w:top w:w="0" w:type="dxa"/>
              <w:left w:w="108" w:type="dxa"/>
              <w:bottom w:w="0" w:type="dxa"/>
              <w:right w:w="108" w:type="dxa"/>
            </w:tcMar>
          </w:tcPr>
          <w:p w14:paraId="1D5E7BFA"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lastRenderedPageBreak/>
              <w:t>Витрати були прийнятними (без неприйнятних компонентів), ідентифікованими та перевіреними, пов'язаними з діяльністю та понесеними учасником (підтвердження оплати, відсутність повторного виставлення рахунків іншим організаціям) протягом тривалості діяльності відповідно до його звичайної практики обліку витрат.</w:t>
            </w:r>
          </w:p>
        </w:tc>
        <w:tc>
          <w:tcPr>
            <w:tcW w:w="1418" w:type="dxa"/>
            <w:shd w:val="clear" w:color="auto" w:fill="auto"/>
            <w:tcMar>
              <w:top w:w="0" w:type="dxa"/>
              <w:left w:w="108" w:type="dxa"/>
              <w:bottom w:w="0" w:type="dxa"/>
              <w:right w:w="108" w:type="dxa"/>
            </w:tcMar>
          </w:tcPr>
          <w:p w14:paraId="4CC6ECA1" w14:textId="77777777" w:rsidR="004111A3" w:rsidRDefault="00A909B0">
            <w:pPr>
              <w:spacing w:before="120" w:after="120"/>
              <w:jc w:val="center"/>
              <w:rPr>
                <w:sz w:val="20"/>
                <w:szCs w:val="20"/>
              </w:rPr>
            </w:pPr>
            <w:r>
              <w:rPr>
                <w:color w:val="000000"/>
                <w:sz w:val="20"/>
                <w:szCs w:val="20"/>
              </w:rPr>
              <w:t>ТАК / НІ / Н.З.</w:t>
            </w:r>
          </w:p>
        </w:tc>
      </w:tr>
      <w:tr w:rsidR="004111A3" w14:paraId="7B1ABADF" w14:textId="77777777">
        <w:trPr>
          <w:gridAfter w:val="1"/>
          <w:wAfter w:w="6" w:type="dxa"/>
        </w:trPr>
        <w:tc>
          <w:tcPr>
            <w:tcW w:w="1143" w:type="dxa"/>
            <w:vMerge/>
          </w:tcPr>
          <w:p w14:paraId="2B0CFD57" w14:textId="77777777" w:rsidR="004111A3" w:rsidRDefault="004111A3">
            <w:pPr>
              <w:widowControl w:val="0"/>
              <w:pBdr>
                <w:top w:val="nil"/>
                <w:left w:val="nil"/>
                <w:bottom w:val="nil"/>
                <w:right w:val="nil"/>
                <w:between w:val="nil"/>
              </w:pBdr>
              <w:spacing w:after="0" w:line="276" w:lineRule="auto"/>
              <w:jc w:val="left"/>
              <w:rPr>
                <w:sz w:val="20"/>
                <w:szCs w:val="20"/>
              </w:rPr>
            </w:pPr>
          </w:p>
        </w:tc>
        <w:tc>
          <w:tcPr>
            <w:tcW w:w="1140" w:type="dxa"/>
            <w:vMerge/>
          </w:tcPr>
          <w:p w14:paraId="2C5FAE66" w14:textId="77777777" w:rsidR="004111A3" w:rsidRDefault="004111A3">
            <w:pPr>
              <w:widowControl w:val="0"/>
              <w:pBdr>
                <w:top w:val="nil"/>
                <w:left w:val="nil"/>
                <w:bottom w:val="nil"/>
                <w:right w:val="nil"/>
                <w:between w:val="nil"/>
              </w:pBdr>
              <w:spacing w:after="0" w:line="276" w:lineRule="auto"/>
              <w:jc w:val="left"/>
              <w:rPr>
                <w:sz w:val="20"/>
                <w:szCs w:val="20"/>
              </w:rPr>
            </w:pPr>
          </w:p>
        </w:tc>
        <w:tc>
          <w:tcPr>
            <w:tcW w:w="6371" w:type="dxa"/>
            <w:vMerge/>
            <w:shd w:val="clear" w:color="auto" w:fill="auto"/>
            <w:tcMar>
              <w:top w:w="0" w:type="dxa"/>
              <w:left w:w="108" w:type="dxa"/>
              <w:bottom w:w="0" w:type="dxa"/>
              <w:right w:w="108" w:type="dxa"/>
            </w:tcMar>
          </w:tcPr>
          <w:p w14:paraId="6DB256F1" w14:textId="77777777" w:rsidR="004111A3" w:rsidRDefault="004111A3">
            <w:pPr>
              <w:widowControl w:val="0"/>
              <w:pBdr>
                <w:top w:val="nil"/>
                <w:left w:val="nil"/>
                <w:bottom w:val="nil"/>
                <w:right w:val="nil"/>
                <w:between w:val="nil"/>
              </w:pBdr>
              <w:spacing w:after="0" w:line="276" w:lineRule="auto"/>
              <w:jc w:val="left"/>
              <w:rPr>
                <w:sz w:val="20"/>
                <w:szCs w:val="20"/>
              </w:rPr>
            </w:pPr>
          </w:p>
        </w:tc>
        <w:tc>
          <w:tcPr>
            <w:tcW w:w="4969" w:type="dxa"/>
            <w:shd w:val="clear" w:color="auto" w:fill="auto"/>
            <w:tcMar>
              <w:top w:w="0" w:type="dxa"/>
              <w:left w:w="108" w:type="dxa"/>
              <w:bottom w:w="0" w:type="dxa"/>
              <w:right w:w="108" w:type="dxa"/>
            </w:tcMar>
          </w:tcPr>
          <w:p w14:paraId="6DBE5E39" w14:textId="77777777" w:rsidR="004111A3" w:rsidRDefault="00A909B0">
            <w:pPr>
              <w:numPr>
                <w:ilvl w:val="0"/>
                <w:numId w:val="3"/>
              </w:numPr>
              <w:pBdr>
                <w:top w:val="nil"/>
                <w:left w:val="nil"/>
                <w:bottom w:val="nil"/>
                <w:right w:val="nil"/>
                <w:between w:val="nil"/>
              </w:pBdr>
              <w:spacing w:before="120" w:after="120"/>
              <w:rPr>
                <w:rFonts w:ascii="Calibri" w:eastAsia="Calibri" w:hAnsi="Calibri" w:cs="Calibri"/>
                <w:color w:val="000000"/>
                <w:sz w:val="20"/>
                <w:szCs w:val="20"/>
              </w:rPr>
            </w:pPr>
            <w:r>
              <w:rPr>
                <w:color w:val="000000"/>
                <w:sz w:val="20"/>
                <w:szCs w:val="20"/>
              </w:rPr>
              <w:t>Субпідрядні договори не укладалися між учасниками (за винятком особливих випадків, викладених у</w:t>
            </w:r>
            <w:r>
              <w:rPr>
                <w:color w:val="000000"/>
              </w:rPr>
              <w:t xml:space="preserve"> </w:t>
            </w:r>
            <w:hyperlink r:id="rId16">
              <w:r>
                <w:rPr>
                  <w:color w:val="0088CC"/>
                  <w:sz w:val="20"/>
                  <w:szCs w:val="20"/>
                  <w:u w:val="single"/>
                </w:rPr>
                <w:t xml:space="preserve">AGA — </w:t>
              </w:r>
              <w:proofErr w:type="spellStart"/>
              <w:r>
                <w:rPr>
                  <w:color w:val="0088CC"/>
                  <w:sz w:val="20"/>
                  <w:szCs w:val="20"/>
                  <w:u w:val="single"/>
                </w:rPr>
                <w:t>Annotated</w:t>
              </w:r>
              <w:proofErr w:type="spellEnd"/>
              <w:r>
                <w:rPr>
                  <w:color w:val="0088CC"/>
                  <w:sz w:val="20"/>
                  <w:szCs w:val="20"/>
                  <w:u w:val="single"/>
                </w:rPr>
                <w:t xml:space="preserve"> </w:t>
              </w:r>
              <w:proofErr w:type="spellStart"/>
              <w:r>
                <w:rPr>
                  <w:color w:val="0088CC"/>
                  <w:sz w:val="20"/>
                  <w:szCs w:val="20"/>
                  <w:u w:val="single"/>
                </w:rPr>
                <w:t>Grant</w:t>
              </w:r>
              <w:proofErr w:type="spellEnd"/>
              <w:r>
                <w:rPr>
                  <w:color w:val="0088CC"/>
                  <w:sz w:val="20"/>
                  <w:szCs w:val="20"/>
                  <w:u w:val="single"/>
                </w:rPr>
                <w:t xml:space="preserve"> </w:t>
              </w:r>
              <w:proofErr w:type="spellStart"/>
              <w:r>
                <w:rPr>
                  <w:color w:val="0088CC"/>
                  <w:sz w:val="20"/>
                  <w:szCs w:val="20"/>
                  <w:u w:val="single"/>
                </w:rPr>
                <w:t>Agreement</w:t>
              </w:r>
              <w:proofErr w:type="spellEnd"/>
              <w:r>
                <w:rPr>
                  <w:color w:val="0088CC"/>
                  <w:sz w:val="20"/>
                  <w:szCs w:val="20"/>
                  <w:u w:val="single"/>
                </w:rPr>
                <w:t xml:space="preserve">, </w:t>
              </w:r>
              <w:proofErr w:type="spellStart"/>
              <w:r>
                <w:rPr>
                  <w:color w:val="0088CC"/>
                  <w:sz w:val="20"/>
                  <w:szCs w:val="20"/>
                  <w:u w:val="single"/>
                </w:rPr>
                <w:t>art</w:t>
              </w:r>
              <w:proofErr w:type="spellEnd"/>
              <w:r>
                <w:rPr>
                  <w:color w:val="0088CC"/>
                  <w:sz w:val="20"/>
                  <w:szCs w:val="20"/>
                  <w:u w:val="single"/>
                </w:rPr>
                <w:t>. 6.2.B</w:t>
              </w:r>
            </w:hyperlink>
            <w:r>
              <w:rPr>
                <w:color w:val="808080"/>
                <w:sz w:val="20"/>
                <w:szCs w:val="20"/>
              </w:rPr>
              <w:t>*</w:t>
            </w:r>
            <w:r>
              <w:rPr>
                <w:color w:val="000000"/>
                <w:sz w:val="20"/>
                <w:szCs w:val="20"/>
              </w:rPr>
              <w:t>)</w:t>
            </w:r>
          </w:p>
        </w:tc>
        <w:tc>
          <w:tcPr>
            <w:tcW w:w="1418" w:type="dxa"/>
            <w:shd w:val="clear" w:color="auto" w:fill="auto"/>
            <w:tcMar>
              <w:top w:w="0" w:type="dxa"/>
              <w:left w:w="108" w:type="dxa"/>
              <w:bottom w:w="0" w:type="dxa"/>
              <w:right w:w="108" w:type="dxa"/>
            </w:tcMar>
          </w:tcPr>
          <w:p w14:paraId="3B31A885" w14:textId="77777777" w:rsidR="004111A3" w:rsidRDefault="00A909B0">
            <w:pPr>
              <w:spacing w:before="120" w:after="120"/>
              <w:jc w:val="center"/>
              <w:rPr>
                <w:sz w:val="20"/>
                <w:szCs w:val="20"/>
              </w:rPr>
            </w:pPr>
            <w:r>
              <w:rPr>
                <w:color w:val="000000"/>
                <w:sz w:val="20"/>
                <w:szCs w:val="20"/>
              </w:rPr>
              <w:t>ТАК / НІ / Н.З.</w:t>
            </w:r>
          </w:p>
        </w:tc>
      </w:tr>
      <w:tr w:rsidR="004111A3" w14:paraId="01993EE6" w14:textId="77777777">
        <w:trPr>
          <w:gridAfter w:val="1"/>
          <w:wAfter w:w="6" w:type="dxa"/>
        </w:trPr>
        <w:tc>
          <w:tcPr>
            <w:tcW w:w="1143" w:type="dxa"/>
            <w:vMerge/>
          </w:tcPr>
          <w:p w14:paraId="4B8004EE" w14:textId="77777777" w:rsidR="004111A3" w:rsidRDefault="004111A3">
            <w:pPr>
              <w:widowControl w:val="0"/>
              <w:pBdr>
                <w:top w:val="nil"/>
                <w:left w:val="nil"/>
                <w:bottom w:val="nil"/>
                <w:right w:val="nil"/>
                <w:between w:val="nil"/>
              </w:pBdr>
              <w:spacing w:after="0" w:line="276" w:lineRule="auto"/>
              <w:jc w:val="left"/>
              <w:rPr>
                <w:sz w:val="20"/>
                <w:szCs w:val="20"/>
              </w:rPr>
            </w:pPr>
          </w:p>
        </w:tc>
        <w:tc>
          <w:tcPr>
            <w:tcW w:w="1140" w:type="dxa"/>
            <w:vMerge/>
          </w:tcPr>
          <w:p w14:paraId="094A0B7C" w14:textId="77777777" w:rsidR="004111A3" w:rsidRDefault="004111A3">
            <w:pPr>
              <w:widowControl w:val="0"/>
              <w:pBdr>
                <w:top w:val="nil"/>
                <w:left w:val="nil"/>
                <w:bottom w:val="nil"/>
                <w:right w:val="nil"/>
                <w:between w:val="nil"/>
              </w:pBdr>
              <w:spacing w:after="0" w:line="276" w:lineRule="auto"/>
              <w:jc w:val="left"/>
              <w:rPr>
                <w:sz w:val="20"/>
                <w:szCs w:val="20"/>
              </w:rPr>
            </w:pPr>
          </w:p>
        </w:tc>
        <w:tc>
          <w:tcPr>
            <w:tcW w:w="6371" w:type="dxa"/>
            <w:vMerge/>
            <w:shd w:val="clear" w:color="auto" w:fill="auto"/>
            <w:tcMar>
              <w:top w:w="0" w:type="dxa"/>
              <w:left w:w="108" w:type="dxa"/>
              <w:bottom w:w="0" w:type="dxa"/>
              <w:right w:w="108" w:type="dxa"/>
            </w:tcMar>
          </w:tcPr>
          <w:p w14:paraId="78A75289" w14:textId="77777777" w:rsidR="004111A3" w:rsidRDefault="004111A3">
            <w:pPr>
              <w:widowControl w:val="0"/>
              <w:pBdr>
                <w:top w:val="nil"/>
                <w:left w:val="nil"/>
                <w:bottom w:val="nil"/>
                <w:right w:val="nil"/>
                <w:between w:val="nil"/>
              </w:pBdr>
              <w:spacing w:after="0" w:line="276" w:lineRule="auto"/>
              <w:jc w:val="left"/>
              <w:rPr>
                <w:sz w:val="20"/>
                <w:szCs w:val="20"/>
              </w:rPr>
            </w:pPr>
          </w:p>
        </w:tc>
        <w:tc>
          <w:tcPr>
            <w:tcW w:w="4969" w:type="dxa"/>
            <w:shd w:val="clear" w:color="auto" w:fill="auto"/>
            <w:tcMar>
              <w:top w:w="0" w:type="dxa"/>
              <w:left w:w="108" w:type="dxa"/>
              <w:bottom w:w="0" w:type="dxa"/>
              <w:right w:w="108" w:type="dxa"/>
            </w:tcMar>
          </w:tcPr>
          <w:p w14:paraId="46163E57"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 xml:space="preserve">Використання субпідряду було передбачено в Додатку 1 ГУ, а загальна кошторисна вартість субпідряду була вказана в Додатку 2 ГУ (або використання та вартість були задекларовані за процедурою "спрощеного затвердження", якщо це дозволено Грантовою угодою; див. статтю 6.2.B), а витрати були задекларовані у фінансовій звітності під категорією субпідряду. 6.2.B), а витрати були </w:t>
            </w:r>
            <w:r>
              <w:rPr>
                <w:color w:val="000000"/>
                <w:sz w:val="20"/>
                <w:szCs w:val="20"/>
              </w:rPr>
              <w:lastRenderedPageBreak/>
              <w:t>задекларовані у фінансовій звітності в категорії субпідряду.</w:t>
            </w:r>
          </w:p>
        </w:tc>
        <w:tc>
          <w:tcPr>
            <w:tcW w:w="1418" w:type="dxa"/>
            <w:shd w:val="clear" w:color="auto" w:fill="auto"/>
            <w:tcMar>
              <w:top w:w="0" w:type="dxa"/>
              <w:left w:w="108" w:type="dxa"/>
              <w:bottom w:w="0" w:type="dxa"/>
              <w:right w:w="108" w:type="dxa"/>
            </w:tcMar>
          </w:tcPr>
          <w:p w14:paraId="5E627116" w14:textId="77777777" w:rsidR="004111A3" w:rsidRDefault="00A909B0">
            <w:pPr>
              <w:spacing w:before="120" w:after="120"/>
              <w:jc w:val="center"/>
              <w:rPr>
                <w:color w:val="000000"/>
                <w:sz w:val="20"/>
                <w:szCs w:val="20"/>
                <w:highlight w:val="yellow"/>
              </w:rPr>
            </w:pPr>
            <w:r>
              <w:rPr>
                <w:color w:val="000000"/>
                <w:sz w:val="20"/>
                <w:szCs w:val="20"/>
              </w:rPr>
              <w:lastRenderedPageBreak/>
              <w:t>ТАК / НІ / Н.З.</w:t>
            </w:r>
          </w:p>
        </w:tc>
      </w:tr>
      <w:tr w:rsidR="004111A3" w14:paraId="55B43E24" w14:textId="77777777">
        <w:trPr>
          <w:gridAfter w:val="1"/>
          <w:wAfter w:w="6" w:type="dxa"/>
        </w:trPr>
        <w:tc>
          <w:tcPr>
            <w:tcW w:w="1143" w:type="dxa"/>
            <w:vMerge/>
          </w:tcPr>
          <w:p w14:paraId="6F0EB23A"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40" w:type="dxa"/>
            <w:vMerge/>
          </w:tcPr>
          <w:p w14:paraId="21D84F83"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371" w:type="dxa"/>
            <w:vMerge/>
            <w:shd w:val="clear" w:color="auto" w:fill="auto"/>
            <w:tcMar>
              <w:top w:w="0" w:type="dxa"/>
              <w:left w:w="108" w:type="dxa"/>
              <w:bottom w:w="0" w:type="dxa"/>
              <w:right w:w="108" w:type="dxa"/>
            </w:tcMar>
          </w:tcPr>
          <w:p w14:paraId="026F1DF3"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9" w:type="dxa"/>
            <w:shd w:val="clear" w:color="auto" w:fill="auto"/>
            <w:tcMar>
              <w:top w:w="0" w:type="dxa"/>
              <w:left w:w="108" w:type="dxa"/>
              <w:bottom w:w="0" w:type="dxa"/>
              <w:right w:w="108" w:type="dxa"/>
            </w:tcMar>
          </w:tcPr>
          <w:p w14:paraId="7BDCA015"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 xml:space="preserve"> </w:t>
            </w:r>
            <w:proofErr w:type="spellStart"/>
            <w:r>
              <w:rPr>
                <w:color w:val="000000"/>
                <w:sz w:val="20"/>
                <w:szCs w:val="20"/>
              </w:rPr>
              <w:t>Субконтракти</w:t>
            </w:r>
            <w:proofErr w:type="spellEnd"/>
            <w:r>
              <w:rPr>
                <w:color w:val="000000"/>
                <w:sz w:val="20"/>
                <w:szCs w:val="20"/>
              </w:rPr>
              <w:t xml:space="preserve"> присуджувалися із застосуванням звичайної практики </w:t>
            </w:r>
            <w:proofErr w:type="spellStart"/>
            <w:r>
              <w:rPr>
                <w:color w:val="000000"/>
                <w:sz w:val="20"/>
                <w:szCs w:val="20"/>
              </w:rPr>
              <w:t>закупівель</w:t>
            </w:r>
            <w:proofErr w:type="spellEnd"/>
            <w:r>
              <w:rPr>
                <w:color w:val="000000"/>
                <w:sz w:val="20"/>
                <w:szCs w:val="20"/>
              </w:rPr>
              <w:t xml:space="preserve"> учасника та, за необхідності, інших документів/процедур, необхідних для дотримання національного законодавства у сфері державних </w:t>
            </w:r>
            <w:proofErr w:type="spellStart"/>
            <w:r>
              <w:rPr>
                <w:color w:val="000000"/>
                <w:sz w:val="20"/>
                <w:szCs w:val="20"/>
              </w:rPr>
              <w:t>закупівель</w:t>
            </w:r>
            <w:proofErr w:type="spellEnd"/>
            <w:r>
              <w:rPr>
                <w:color w:val="000000"/>
                <w:sz w:val="20"/>
                <w:szCs w:val="20"/>
              </w:rPr>
              <w:t>.</w:t>
            </w:r>
          </w:p>
        </w:tc>
        <w:tc>
          <w:tcPr>
            <w:tcW w:w="1418" w:type="dxa"/>
            <w:shd w:val="clear" w:color="auto" w:fill="auto"/>
            <w:tcMar>
              <w:top w:w="0" w:type="dxa"/>
              <w:left w:w="108" w:type="dxa"/>
              <w:bottom w:w="0" w:type="dxa"/>
              <w:right w:w="108" w:type="dxa"/>
            </w:tcMar>
          </w:tcPr>
          <w:p w14:paraId="59F6374C"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7D7E576A" w14:textId="77777777">
        <w:trPr>
          <w:gridAfter w:val="1"/>
          <w:wAfter w:w="6" w:type="dxa"/>
        </w:trPr>
        <w:tc>
          <w:tcPr>
            <w:tcW w:w="1143" w:type="dxa"/>
            <w:vMerge/>
          </w:tcPr>
          <w:p w14:paraId="7EC0DB9E"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40" w:type="dxa"/>
            <w:vMerge/>
          </w:tcPr>
          <w:p w14:paraId="47B635DB"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371" w:type="dxa"/>
            <w:vMerge/>
            <w:shd w:val="clear" w:color="auto" w:fill="auto"/>
            <w:tcMar>
              <w:top w:w="0" w:type="dxa"/>
              <w:left w:w="108" w:type="dxa"/>
              <w:bottom w:w="0" w:type="dxa"/>
              <w:right w:w="108" w:type="dxa"/>
            </w:tcMar>
          </w:tcPr>
          <w:p w14:paraId="343CFD55"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9" w:type="dxa"/>
            <w:shd w:val="clear" w:color="auto" w:fill="auto"/>
            <w:tcMar>
              <w:top w:w="0" w:type="dxa"/>
              <w:left w:w="108" w:type="dxa"/>
              <w:bottom w:w="0" w:type="dxa"/>
              <w:right w:w="108" w:type="dxa"/>
            </w:tcMar>
          </w:tcPr>
          <w:p w14:paraId="22CF7980"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Субпідряди присуджувалися за принципом найкращого співвідношення ціни та якості (найкращого співвідношення ціна-якість) або за найнижчою ціною. У разі використання існуючого контракту, рамкового контракту або звичайного постачальника, учасник надав докази (</w:t>
            </w:r>
            <w:r>
              <w:rPr>
                <w:i/>
                <w:color w:val="000000"/>
                <w:sz w:val="20"/>
                <w:szCs w:val="20"/>
              </w:rPr>
              <w:t>наприклад, документи запитів до різних постачальників, різні пропозиції, докази оцінки пропозицій та/або оцінки ринкових цін), які демонструють, що початковий відбір відповідав цим критеріям)</w:t>
            </w:r>
          </w:p>
        </w:tc>
        <w:tc>
          <w:tcPr>
            <w:tcW w:w="1418" w:type="dxa"/>
            <w:shd w:val="clear" w:color="auto" w:fill="auto"/>
            <w:tcMar>
              <w:top w:w="0" w:type="dxa"/>
              <w:left w:w="108" w:type="dxa"/>
              <w:bottom w:w="0" w:type="dxa"/>
              <w:right w:w="108" w:type="dxa"/>
            </w:tcMar>
          </w:tcPr>
          <w:p w14:paraId="0C74F241"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275A6763" w14:textId="77777777">
        <w:trPr>
          <w:gridAfter w:val="1"/>
          <w:wAfter w:w="6" w:type="dxa"/>
        </w:trPr>
        <w:tc>
          <w:tcPr>
            <w:tcW w:w="1143" w:type="dxa"/>
            <w:vMerge/>
          </w:tcPr>
          <w:p w14:paraId="72EC795D"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40" w:type="dxa"/>
            <w:vMerge/>
          </w:tcPr>
          <w:p w14:paraId="74F8C85D"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371" w:type="dxa"/>
            <w:vMerge/>
            <w:shd w:val="clear" w:color="auto" w:fill="auto"/>
            <w:tcMar>
              <w:top w:w="0" w:type="dxa"/>
              <w:left w:w="108" w:type="dxa"/>
              <w:bottom w:w="0" w:type="dxa"/>
              <w:right w:w="108" w:type="dxa"/>
            </w:tcMar>
          </w:tcPr>
          <w:p w14:paraId="072B8110"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9" w:type="dxa"/>
            <w:shd w:val="clear" w:color="auto" w:fill="auto"/>
            <w:tcMar>
              <w:top w:w="0" w:type="dxa"/>
              <w:left w:w="108" w:type="dxa"/>
              <w:bottom w:w="0" w:type="dxa"/>
              <w:right w:w="108" w:type="dxa"/>
            </w:tcMar>
          </w:tcPr>
          <w:p w14:paraId="2B02FE3B"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Учасник застосував процедури для забезпечення відсутності конфлікту інтересів, і за результатами нашої перевірки ми не виявили нічого, що могло б свідчити про потенційний конфлікт інтересів. Учасник надав необхідне письмове підтвердження. Якщо використовувався існуючий контракт, рамковий контракт або звичайний постачальник, учасник надав докази (наприклад, запити до різних постачальників, докази оцінки пропозицій та/або оцінки ринкових цін), які демонструють, що початковий відбір відповідав цим критеріям.</w:t>
            </w:r>
          </w:p>
        </w:tc>
        <w:tc>
          <w:tcPr>
            <w:tcW w:w="1418" w:type="dxa"/>
            <w:shd w:val="clear" w:color="auto" w:fill="auto"/>
            <w:tcMar>
              <w:top w:w="0" w:type="dxa"/>
              <w:left w:w="108" w:type="dxa"/>
              <w:bottom w:w="0" w:type="dxa"/>
              <w:right w:w="108" w:type="dxa"/>
            </w:tcMar>
          </w:tcPr>
          <w:p w14:paraId="2CDFF8D9"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26E73F89" w14:textId="77777777">
        <w:trPr>
          <w:gridAfter w:val="1"/>
          <w:wAfter w:w="6" w:type="dxa"/>
        </w:trPr>
        <w:tc>
          <w:tcPr>
            <w:tcW w:w="1143" w:type="dxa"/>
            <w:vMerge/>
          </w:tcPr>
          <w:p w14:paraId="523D108A"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40" w:type="dxa"/>
            <w:vMerge/>
          </w:tcPr>
          <w:p w14:paraId="0BB0543B"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371" w:type="dxa"/>
            <w:vMerge/>
            <w:shd w:val="clear" w:color="auto" w:fill="auto"/>
            <w:tcMar>
              <w:top w:w="0" w:type="dxa"/>
              <w:left w:w="108" w:type="dxa"/>
              <w:bottom w:w="0" w:type="dxa"/>
              <w:right w:w="108" w:type="dxa"/>
            </w:tcMar>
          </w:tcPr>
          <w:p w14:paraId="069C0399"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9" w:type="dxa"/>
            <w:shd w:val="clear" w:color="auto" w:fill="auto"/>
            <w:tcMar>
              <w:top w:w="0" w:type="dxa"/>
              <w:left w:w="108" w:type="dxa"/>
              <w:bottom w:w="0" w:type="dxa"/>
              <w:right w:w="108" w:type="dxa"/>
            </w:tcMar>
          </w:tcPr>
          <w:p w14:paraId="2A42C5D9"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субпідрядні договори гарантують, що договірні зобов'язання, викладені в ст. 9.3, також покладаються на субпідрядника.</w:t>
            </w:r>
          </w:p>
        </w:tc>
        <w:tc>
          <w:tcPr>
            <w:tcW w:w="1418" w:type="dxa"/>
            <w:shd w:val="clear" w:color="auto" w:fill="auto"/>
            <w:tcMar>
              <w:top w:w="0" w:type="dxa"/>
              <w:left w:w="108" w:type="dxa"/>
              <w:bottom w:w="0" w:type="dxa"/>
              <w:right w:w="108" w:type="dxa"/>
            </w:tcMar>
          </w:tcPr>
          <w:p w14:paraId="5EACD153"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E4C3888" w14:textId="77777777">
        <w:trPr>
          <w:gridAfter w:val="1"/>
          <w:wAfter w:w="6" w:type="dxa"/>
        </w:trPr>
        <w:tc>
          <w:tcPr>
            <w:tcW w:w="1143" w:type="dxa"/>
            <w:vMerge/>
          </w:tcPr>
          <w:p w14:paraId="107D313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40" w:type="dxa"/>
            <w:vMerge/>
          </w:tcPr>
          <w:p w14:paraId="2DD567D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71" w:type="dxa"/>
            <w:vMerge/>
            <w:shd w:val="clear" w:color="auto" w:fill="auto"/>
            <w:tcMar>
              <w:top w:w="0" w:type="dxa"/>
              <w:left w:w="108" w:type="dxa"/>
              <w:bottom w:w="0" w:type="dxa"/>
              <w:right w:w="108" w:type="dxa"/>
            </w:tcMar>
          </w:tcPr>
          <w:p w14:paraId="6EFD75A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9" w:type="dxa"/>
            <w:shd w:val="clear" w:color="auto" w:fill="auto"/>
            <w:tcMar>
              <w:top w:w="0" w:type="dxa"/>
              <w:left w:w="108" w:type="dxa"/>
              <w:bottom w:w="0" w:type="dxa"/>
              <w:right w:w="108" w:type="dxa"/>
            </w:tcMar>
          </w:tcPr>
          <w:p w14:paraId="0C984E22"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Субпідряди не були надані іншим учасникам консорціуму або афілійованим організаціям.</w:t>
            </w:r>
          </w:p>
        </w:tc>
        <w:tc>
          <w:tcPr>
            <w:tcW w:w="1418" w:type="dxa"/>
            <w:shd w:val="clear" w:color="auto" w:fill="auto"/>
            <w:tcMar>
              <w:top w:w="0" w:type="dxa"/>
              <w:left w:w="108" w:type="dxa"/>
              <w:bottom w:w="0" w:type="dxa"/>
              <w:right w:w="108" w:type="dxa"/>
            </w:tcMar>
          </w:tcPr>
          <w:p w14:paraId="49FA3190"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359DA0F" w14:textId="77777777">
        <w:trPr>
          <w:gridAfter w:val="1"/>
          <w:wAfter w:w="6" w:type="dxa"/>
        </w:trPr>
        <w:tc>
          <w:tcPr>
            <w:tcW w:w="1143" w:type="dxa"/>
            <w:vMerge/>
          </w:tcPr>
          <w:p w14:paraId="6D217D5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40" w:type="dxa"/>
            <w:vMerge/>
          </w:tcPr>
          <w:p w14:paraId="38D34F5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71" w:type="dxa"/>
            <w:vMerge/>
            <w:shd w:val="clear" w:color="auto" w:fill="auto"/>
            <w:tcMar>
              <w:top w:w="0" w:type="dxa"/>
              <w:left w:w="108" w:type="dxa"/>
              <w:bottom w:w="0" w:type="dxa"/>
              <w:right w:w="108" w:type="dxa"/>
            </w:tcMar>
          </w:tcPr>
          <w:p w14:paraId="1D96E46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9" w:type="dxa"/>
            <w:shd w:val="clear" w:color="auto" w:fill="auto"/>
            <w:tcMar>
              <w:top w:w="0" w:type="dxa"/>
              <w:left w:w="108" w:type="dxa"/>
              <w:bottom w:w="0" w:type="dxa"/>
              <w:right w:w="108" w:type="dxa"/>
            </w:tcMar>
          </w:tcPr>
          <w:p w14:paraId="40C5985D"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Всі субпідряди були підтверджені підписаними угодами між учасником та субпідрядником.</w:t>
            </w:r>
          </w:p>
        </w:tc>
        <w:tc>
          <w:tcPr>
            <w:tcW w:w="1418" w:type="dxa"/>
            <w:shd w:val="clear" w:color="auto" w:fill="auto"/>
            <w:tcMar>
              <w:top w:w="0" w:type="dxa"/>
              <w:left w:w="108" w:type="dxa"/>
              <w:bottom w:w="0" w:type="dxa"/>
              <w:right w:w="108" w:type="dxa"/>
            </w:tcMar>
          </w:tcPr>
          <w:p w14:paraId="77730A2A"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0773512D" w14:textId="77777777">
        <w:trPr>
          <w:gridAfter w:val="1"/>
          <w:wAfter w:w="6" w:type="dxa"/>
        </w:trPr>
        <w:tc>
          <w:tcPr>
            <w:tcW w:w="1143" w:type="dxa"/>
            <w:vMerge/>
          </w:tcPr>
          <w:p w14:paraId="790F1B0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40" w:type="dxa"/>
            <w:vMerge/>
          </w:tcPr>
          <w:p w14:paraId="538CFAD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71" w:type="dxa"/>
            <w:vMerge/>
            <w:shd w:val="clear" w:color="auto" w:fill="auto"/>
            <w:tcMar>
              <w:top w:w="0" w:type="dxa"/>
              <w:left w:w="108" w:type="dxa"/>
              <w:bottom w:w="0" w:type="dxa"/>
              <w:right w:w="108" w:type="dxa"/>
            </w:tcMar>
          </w:tcPr>
          <w:p w14:paraId="627FEA8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9" w:type="dxa"/>
            <w:shd w:val="clear" w:color="auto" w:fill="auto"/>
            <w:tcMar>
              <w:top w:w="0" w:type="dxa"/>
              <w:left w:w="108" w:type="dxa"/>
              <w:bottom w:w="0" w:type="dxa"/>
              <w:right w:w="108" w:type="dxa"/>
            </w:tcMar>
          </w:tcPr>
          <w:p w14:paraId="60558134"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Існували докази того, що послуги були надані субпідрядниками.</w:t>
            </w:r>
          </w:p>
        </w:tc>
        <w:tc>
          <w:tcPr>
            <w:tcW w:w="1418" w:type="dxa"/>
            <w:shd w:val="clear" w:color="auto" w:fill="auto"/>
            <w:tcMar>
              <w:top w:w="0" w:type="dxa"/>
              <w:left w:w="108" w:type="dxa"/>
              <w:bottom w:w="0" w:type="dxa"/>
              <w:right w:w="108" w:type="dxa"/>
            </w:tcMar>
          </w:tcPr>
          <w:p w14:paraId="4B4A9642" w14:textId="77777777" w:rsidR="004111A3" w:rsidRDefault="00A909B0">
            <w:pPr>
              <w:spacing w:before="120" w:after="120"/>
              <w:jc w:val="center"/>
              <w:rPr>
                <w:color w:val="000000"/>
                <w:sz w:val="20"/>
                <w:szCs w:val="20"/>
              </w:rPr>
            </w:pPr>
            <w:r>
              <w:rPr>
                <w:color w:val="000000"/>
                <w:sz w:val="20"/>
                <w:szCs w:val="20"/>
              </w:rPr>
              <w:t>ТАК / НІ / Н.З.</w:t>
            </w:r>
          </w:p>
        </w:tc>
      </w:tr>
    </w:tbl>
    <w:p w14:paraId="6DFDCDBD" w14:textId="77777777" w:rsidR="004111A3" w:rsidRDefault="004111A3"/>
    <w:p w14:paraId="3CCAB3D0"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Витрати на закупівлю (C.)</w:t>
      </w:r>
    </w:p>
    <w:tbl>
      <w:tblPr>
        <w:tblStyle w:val="afff0"/>
        <w:tblpPr w:leftFromText="180" w:rightFromText="180" w:vertAnchor="text" w:tblpY="1"/>
        <w:tblW w:w="15183"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091"/>
        <w:gridCol w:w="6"/>
        <w:gridCol w:w="1375"/>
        <w:gridCol w:w="8"/>
        <w:gridCol w:w="10154"/>
        <w:gridCol w:w="2549"/>
      </w:tblGrid>
      <w:tr w:rsidR="004111A3" w14:paraId="6E2EBF3B" w14:textId="77777777">
        <w:trPr>
          <w:tblHeader/>
        </w:trPr>
        <w:tc>
          <w:tcPr>
            <w:tcW w:w="15183" w:type="dxa"/>
            <w:gridSpan w:val="6"/>
            <w:shd w:val="clear" w:color="auto" w:fill="EBF1DD"/>
          </w:tcPr>
          <w:p w14:paraId="4760F89F" w14:textId="77777777" w:rsidR="004111A3" w:rsidRDefault="00A909B0">
            <w:pPr>
              <w:spacing w:before="120" w:after="120"/>
              <w:ind w:left="142"/>
              <w:jc w:val="left"/>
              <w:rPr>
                <w:b/>
                <w:color w:val="FF0000"/>
                <w:sz w:val="20"/>
                <w:szCs w:val="20"/>
              </w:rPr>
            </w:pPr>
            <w:r>
              <w:rPr>
                <w:b/>
                <w:color w:val="FF0000"/>
                <w:sz w:val="20"/>
                <w:szCs w:val="20"/>
              </w:rPr>
              <w:t>Узгоджені процедури CFS - Витрати на закупівлю (C.)</w:t>
            </w:r>
          </w:p>
        </w:tc>
      </w:tr>
      <w:tr w:rsidR="004111A3" w14:paraId="19CA15BC" w14:textId="77777777">
        <w:trPr>
          <w:tblHeader/>
        </w:trPr>
        <w:tc>
          <w:tcPr>
            <w:tcW w:w="1091" w:type="dxa"/>
            <w:shd w:val="clear" w:color="auto" w:fill="EBF1DD"/>
          </w:tcPr>
          <w:p w14:paraId="126B219D" w14:textId="77777777" w:rsidR="004111A3" w:rsidRDefault="00A909B0">
            <w:pPr>
              <w:spacing w:before="120" w:after="120"/>
              <w:ind w:firstLine="95"/>
              <w:jc w:val="center"/>
              <w:rPr>
                <w:b/>
                <w:color w:val="000000"/>
                <w:sz w:val="20"/>
                <w:szCs w:val="20"/>
              </w:rPr>
            </w:pPr>
            <w:r>
              <w:rPr>
                <w:b/>
                <w:color w:val="000000"/>
                <w:sz w:val="20"/>
                <w:szCs w:val="20"/>
              </w:rPr>
              <w:t>Стаття Грантової Угоди</w:t>
            </w:r>
          </w:p>
        </w:tc>
        <w:tc>
          <w:tcPr>
            <w:tcW w:w="1381" w:type="dxa"/>
            <w:gridSpan w:val="2"/>
            <w:shd w:val="clear" w:color="auto" w:fill="EBF1DD"/>
            <w:vAlign w:val="center"/>
          </w:tcPr>
          <w:p w14:paraId="32F53C28" w14:textId="77777777" w:rsidR="004111A3" w:rsidRDefault="00A909B0">
            <w:pPr>
              <w:spacing w:before="120" w:after="120"/>
              <w:ind w:firstLine="95"/>
              <w:jc w:val="center"/>
              <w:rPr>
                <w:b/>
                <w:color w:val="000000"/>
                <w:sz w:val="20"/>
                <w:szCs w:val="20"/>
              </w:rPr>
            </w:pPr>
            <w:r>
              <w:rPr>
                <w:b/>
                <w:color w:val="000000"/>
                <w:sz w:val="20"/>
                <w:szCs w:val="20"/>
              </w:rPr>
              <w:t>Категорія витрат</w:t>
            </w:r>
          </w:p>
        </w:tc>
        <w:tc>
          <w:tcPr>
            <w:tcW w:w="10162" w:type="dxa"/>
            <w:gridSpan w:val="2"/>
            <w:shd w:val="clear" w:color="auto" w:fill="EBF1DD"/>
            <w:tcMar>
              <w:top w:w="0" w:type="dxa"/>
              <w:left w:w="108" w:type="dxa"/>
              <w:bottom w:w="0" w:type="dxa"/>
              <w:right w:w="108" w:type="dxa"/>
            </w:tcMar>
            <w:vAlign w:val="center"/>
          </w:tcPr>
          <w:p w14:paraId="0511A63F" w14:textId="77777777" w:rsidR="004111A3" w:rsidRDefault="00A909B0">
            <w:pPr>
              <w:spacing w:before="120" w:after="120"/>
              <w:jc w:val="center"/>
              <w:rPr>
                <w:b/>
                <w:color w:val="000000"/>
                <w:sz w:val="20"/>
                <w:szCs w:val="20"/>
              </w:rPr>
            </w:pPr>
            <w:r>
              <w:rPr>
                <w:b/>
                <w:color w:val="000000"/>
                <w:sz w:val="20"/>
                <w:szCs w:val="20"/>
              </w:rPr>
              <w:t>Процедури</w:t>
            </w:r>
          </w:p>
        </w:tc>
        <w:tc>
          <w:tcPr>
            <w:tcW w:w="2549" w:type="dxa"/>
            <w:shd w:val="clear" w:color="auto" w:fill="EBF1DD"/>
            <w:tcMar>
              <w:top w:w="0" w:type="dxa"/>
              <w:left w:w="108" w:type="dxa"/>
              <w:bottom w:w="0" w:type="dxa"/>
              <w:right w:w="108" w:type="dxa"/>
            </w:tcMar>
            <w:vAlign w:val="center"/>
          </w:tcPr>
          <w:p w14:paraId="11237EF4"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r>
      <w:tr w:rsidR="004111A3" w14:paraId="1E7B0963" w14:textId="77777777">
        <w:tc>
          <w:tcPr>
            <w:tcW w:w="1091" w:type="dxa"/>
            <w:shd w:val="clear" w:color="auto" w:fill="EBF1DD"/>
          </w:tcPr>
          <w:p w14:paraId="78B07E86" w14:textId="77777777" w:rsidR="004111A3" w:rsidRDefault="00A909B0">
            <w:pPr>
              <w:spacing w:before="120" w:after="120"/>
              <w:jc w:val="center"/>
              <w:rPr>
                <w:b/>
                <w:color w:val="000000"/>
                <w:sz w:val="20"/>
                <w:szCs w:val="20"/>
              </w:rPr>
            </w:pPr>
            <w:r>
              <w:rPr>
                <w:b/>
                <w:color w:val="000000"/>
                <w:sz w:val="20"/>
                <w:szCs w:val="20"/>
              </w:rPr>
              <w:t>Стаття 6.2.C</w:t>
            </w:r>
          </w:p>
        </w:tc>
        <w:tc>
          <w:tcPr>
            <w:tcW w:w="1381" w:type="dxa"/>
            <w:gridSpan w:val="2"/>
            <w:shd w:val="clear" w:color="auto" w:fill="EBF1DD"/>
            <w:vAlign w:val="center"/>
          </w:tcPr>
          <w:p w14:paraId="25F2C17C" w14:textId="77777777" w:rsidR="004111A3" w:rsidRDefault="00A909B0">
            <w:pPr>
              <w:spacing w:before="120" w:after="120"/>
              <w:jc w:val="center"/>
              <w:rPr>
                <w:b/>
                <w:color w:val="000000"/>
                <w:sz w:val="20"/>
                <w:szCs w:val="20"/>
              </w:rPr>
            </w:pPr>
            <w:r>
              <w:rPr>
                <w:b/>
                <w:color w:val="000000"/>
                <w:sz w:val="20"/>
                <w:szCs w:val="20"/>
              </w:rPr>
              <w:t>C.</w:t>
            </w:r>
          </w:p>
        </w:tc>
        <w:tc>
          <w:tcPr>
            <w:tcW w:w="12711" w:type="dxa"/>
            <w:gridSpan w:val="3"/>
            <w:shd w:val="clear" w:color="auto" w:fill="EBF1DD"/>
          </w:tcPr>
          <w:p w14:paraId="6CF56D9D" w14:textId="77777777" w:rsidR="004111A3" w:rsidRDefault="00A909B0">
            <w:pPr>
              <w:spacing w:before="120" w:after="120"/>
              <w:ind w:left="132"/>
              <w:rPr>
                <w:color w:val="000000"/>
                <w:sz w:val="20"/>
                <w:szCs w:val="20"/>
              </w:rPr>
            </w:pPr>
            <w:r>
              <w:rPr>
                <w:color w:val="000000"/>
                <w:sz w:val="20"/>
                <w:szCs w:val="20"/>
              </w:rPr>
              <w:t>ВИТРАТИ НА ЗАКУПІВЛЮ</w:t>
            </w:r>
          </w:p>
        </w:tc>
      </w:tr>
      <w:tr w:rsidR="004111A3" w14:paraId="47364E4D" w14:textId="77777777">
        <w:tc>
          <w:tcPr>
            <w:tcW w:w="1097" w:type="dxa"/>
            <w:gridSpan w:val="2"/>
            <w:shd w:val="clear" w:color="auto" w:fill="auto"/>
          </w:tcPr>
          <w:p w14:paraId="7123DD6C" w14:textId="77777777" w:rsidR="004111A3" w:rsidRDefault="00A909B0">
            <w:pPr>
              <w:spacing w:before="120" w:after="120"/>
              <w:jc w:val="center"/>
              <w:rPr>
                <w:b/>
                <w:color w:val="000000"/>
                <w:sz w:val="20"/>
                <w:szCs w:val="20"/>
              </w:rPr>
            </w:pPr>
            <w:r>
              <w:rPr>
                <w:b/>
                <w:color w:val="000000"/>
                <w:sz w:val="20"/>
                <w:szCs w:val="20"/>
              </w:rPr>
              <w:t>Стаття 6.2.C</w:t>
            </w:r>
          </w:p>
        </w:tc>
        <w:tc>
          <w:tcPr>
            <w:tcW w:w="1383" w:type="dxa"/>
            <w:gridSpan w:val="2"/>
            <w:shd w:val="clear" w:color="auto" w:fill="auto"/>
          </w:tcPr>
          <w:p w14:paraId="07F27CDC" w14:textId="77777777" w:rsidR="004111A3" w:rsidRDefault="00A909B0">
            <w:pPr>
              <w:spacing w:before="120" w:after="120"/>
              <w:jc w:val="center"/>
              <w:rPr>
                <w:b/>
                <w:color w:val="000000"/>
                <w:sz w:val="20"/>
                <w:szCs w:val="20"/>
              </w:rPr>
            </w:pPr>
            <w:r>
              <w:rPr>
                <w:b/>
                <w:color w:val="000000"/>
                <w:sz w:val="20"/>
                <w:szCs w:val="20"/>
              </w:rPr>
              <w:t>ЗАГАЛЬНІ УМОВИ ПРИЙНЯТНОСТІ ВИТРАТ НА ЗАКУПІВЛЮ</w:t>
            </w:r>
          </w:p>
        </w:tc>
        <w:tc>
          <w:tcPr>
            <w:tcW w:w="10154" w:type="dxa"/>
            <w:shd w:val="clear" w:color="auto" w:fill="auto"/>
          </w:tcPr>
          <w:p w14:paraId="7CACCAE0" w14:textId="77777777" w:rsidR="004111A3" w:rsidRDefault="00A909B0">
            <w:pPr>
              <w:spacing w:before="120" w:after="120"/>
              <w:rPr>
                <w:color w:val="000000"/>
                <w:sz w:val="20"/>
                <w:szCs w:val="20"/>
              </w:rPr>
            </w:pPr>
            <w:r>
              <w:rPr>
                <w:color w:val="000000"/>
                <w:sz w:val="20"/>
                <w:szCs w:val="20"/>
              </w:rPr>
              <w:t>Для всіх категорій вартості закупівлі:</w:t>
            </w:r>
          </w:p>
          <w:p w14:paraId="0BEFF41B" w14:textId="77777777" w:rsidR="004111A3" w:rsidRDefault="00A909B0">
            <w:pPr>
              <w:spacing w:before="120" w:after="120"/>
              <w:ind w:left="95"/>
              <w:rPr>
                <w:color w:val="000000"/>
                <w:sz w:val="20"/>
                <w:szCs w:val="20"/>
              </w:rPr>
            </w:pPr>
            <w:r>
              <w:rPr>
                <w:color w:val="000000"/>
                <w:sz w:val="20"/>
                <w:szCs w:val="20"/>
              </w:rPr>
              <w:t>Для вибірки кожної категорії витрат на закупівлю фахівець перевірив, чи відповідають витрати, задекларовані у фінансовій звітності, наступним умовам прийнятності витрат на закупівлю:</w:t>
            </w:r>
          </w:p>
          <w:p w14:paraId="0F7465AF"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Закупівлі здійснювалися відповідно до звичайної практики </w:t>
            </w:r>
            <w:proofErr w:type="spellStart"/>
            <w:r>
              <w:rPr>
                <w:color w:val="000000"/>
                <w:sz w:val="20"/>
                <w:szCs w:val="20"/>
              </w:rPr>
              <w:t>закупівель</w:t>
            </w:r>
            <w:proofErr w:type="spellEnd"/>
            <w:r>
              <w:rPr>
                <w:color w:val="000000"/>
                <w:sz w:val="20"/>
                <w:szCs w:val="20"/>
              </w:rPr>
              <w:t>/внутрішніх процедур учасника - за умови, що вони забезпечують закупівлі з найкращим співвідношенням ціни та якості (ключовими елементами для оцінки дотримання цього принципу є присудження контракту пропозиції, що пропонує найкраще співвідношення ціни та якості, за умов прозорості та рівного ставлення), або, якщо це доречно, найнижчу ціну, а також наявність процедур, що забезпечують відсутність конфлікту інтересів. Якщо використовується існуючий контракт, рамковий контракт або звичайний постачальник, учасник надав докази (наприклад, запити до різних постачальників, докази оцінки пропозицій та/або оцінки ринкових цін), які демонструють, що початковий вибір відповідав цим критеріям.</w:t>
            </w:r>
          </w:p>
          <w:p w14:paraId="7F6DB50D"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Фахівець отримав від учасника письмове підтвердження того, що закупівлі були здійснені відповідно до принципу найкращого співвідношення ціни та якості та без конфлікту інтересів.</w:t>
            </w:r>
          </w:p>
          <w:p w14:paraId="2EC7A2B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lastRenderedPageBreak/>
              <w:t>Для учасників, які є " замовниками / організаціями" у розумінні Директив ЄС про державні закупівлі 2014/24/ЄС, 2014/25/ЄС або 2009/81/ЄС, фахівець перевірив, чи відповідає закупівля чинному національному законодавству про державні закупівлі.</w:t>
            </w:r>
          </w:p>
        </w:tc>
        <w:tc>
          <w:tcPr>
            <w:tcW w:w="2549" w:type="dxa"/>
            <w:shd w:val="clear" w:color="auto" w:fill="FFFFFF"/>
          </w:tcPr>
          <w:p w14:paraId="3BB93A97" w14:textId="77777777" w:rsidR="004111A3" w:rsidRDefault="00A909B0">
            <w:pPr>
              <w:spacing w:before="120" w:after="120"/>
              <w:rPr>
                <w:i/>
                <w:color w:val="000000"/>
                <w:sz w:val="20"/>
                <w:szCs w:val="20"/>
              </w:rPr>
            </w:pPr>
            <w:r>
              <w:rPr>
                <w:i/>
                <w:color w:val="000000"/>
                <w:sz w:val="20"/>
                <w:szCs w:val="20"/>
              </w:rPr>
              <w:lastRenderedPageBreak/>
              <w:t>Стандартний висновок для цієї процедури включається як перший висновок у кожну категорію витрат (див. нижче):</w:t>
            </w:r>
          </w:p>
          <w:p w14:paraId="4C0987F9" w14:textId="77777777" w:rsidR="004111A3" w:rsidRDefault="00A909B0">
            <w:pPr>
              <w:numPr>
                <w:ilvl w:val="0"/>
                <w:numId w:val="6"/>
              </w:numPr>
              <w:pBdr>
                <w:top w:val="nil"/>
                <w:left w:val="nil"/>
                <w:bottom w:val="nil"/>
                <w:right w:val="nil"/>
                <w:between w:val="nil"/>
              </w:pBdr>
              <w:spacing w:before="120" w:after="120"/>
              <w:ind w:left="406"/>
              <w:rPr>
                <w:i/>
                <w:color w:val="000000"/>
                <w:sz w:val="20"/>
                <w:szCs w:val="20"/>
              </w:rPr>
            </w:pPr>
            <w:r>
              <w:rPr>
                <w:i/>
                <w:color w:val="000000"/>
                <w:sz w:val="20"/>
                <w:szCs w:val="20"/>
              </w:rPr>
              <w:t xml:space="preserve">"Закупівлі здійснювалися із застосуванням звичайної практики </w:t>
            </w:r>
            <w:proofErr w:type="spellStart"/>
            <w:r>
              <w:rPr>
                <w:i/>
                <w:color w:val="000000"/>
                <w:sz w:val="20"/>
                <w:szCs w:val="20"/>
              </w:rPr>
              <w:t>закупівель</w:t>
            </w:r>
            <w:proofErr w:type="spellEnd"/>
            <w:r>
              <w:rPr>
                <w:i/>
                <w:color w:val="000000"/>
                <w:sz w:val="20"/>
                <w:szCs w:val="20"/>
              </w:rPr>
              <w:t xml:space="preserve"> учасника та, за необхідності, інших документів/процедур, необхідних для дотримання вимог національного </w:t>
            </w:r>
            <w:r>
              <w:rPr>
                <w:i/>
                <w:color w:val="000000"/>
                <w:sz w:val="20"/>
                <w:szCs w:val="20"/>
              </w:rPr>
              <w:lastRenderedPageBreak/>
              <w:t xml:space="preserve">законодавства у сфері публічних </w:t>
            </w:r>
            <w:proofErr w:type="spellStart"/>
            <w:r>
              <w:rPr>
                <w:i/>
                <w:color w:val="000000"/>
                <w:sz w:val="20"/>
                <w:szCs w:val="20"/>
              </w:rPr>
              <w:t>закупівель</w:t>
            </w:r>
            <w:proofErr w:type="spellEnd"/>
            <w:r>
              <w:rPr>
                <w:i/>
                <w:color w:val="000000"/>
                <w:sz w:val="20"/>
                <w:szCs w:val="20"/>
              </w:rPr>
              <w:t>.</w:t>
            </w:r>
          </w:p>
          <w:p w14:paraId="24B2427C" w14:textId="77777777" w:rsidR="004111A3" w:rsidRDefault="00A909B0">
            <w:pPr>
              <w:numPr>
                <w:ilvl w:val="0"/>
                <w:numId w:val="6"/>
              </w:numPr>
              <w:pBdr>
                <w:top w:val="nil"/>
                <w:left w:val="nil"/>
                <w:bottom w:val="nil"/>
                <w:right w:val="nil"/>
                <w:between w:val="nil"/>
              </w:pBdr>
              <w:spacing w:before="120" w:after="120"/>
              <w:ind w:left="406"/>
              <w:rPr>
                <w:i/>
                <w:color w:val="000000"/>
                <w:sz w:val="20"/>
                <w:szCs w:val="20"/>
              </w:rPr>
            </w:pPr>
            <w:r>
              <w:rPr>
                <w:i/>
                <w:color w:val="000000"/>
                <w:sz w:val="20"/>
                <w:szCs w:val="20"/>
              </w:rPr>
              <w:t>Закупівлі здійснювалися за принципом найкращого співвідношення ціни та якості або за найнижчою ціною.</w:t>
            </w:r>
          </w:p>
          <w:p w14:paraId="65AD5F85" w14:textId="77777777" w:rsidR="004111A3" w:rsidRDefault="00A909B0">
            <w:pPr>
              <w:numPr>
                <w:ilvl w:val="0"/>
                <w:numId w:val="6"/>
              </w:numPr>
              <w:pBdr>
                <w:top w:val="nil"/>
                <w:left w:val="nil"/>
                <w:bottom w:val="nil"/>
                <w:right w:val="nil"/>
                <w:between w:val="nil"/>
              </w:pBdr>
              <w:spacing w:before="120" w:after="120"/>
              <w:ind w:left="406"/>
              <w:rPr>
                <w:b/>
                <w:i/>
                <w:color w:val="000000"/>
                <w:sz w:val="20"/>
                <w:szCs w:val="20"/>
              </w:rPr>
            </w:pPr>
            <w:r>
              <w:rPr>
                <w:i/>
                <w:color w:val="000000"/>
                <w:sz w:val="20"/>
                <w:szCs w:val="20"/>
              </w:rPr>
              <w:t>Учасник застосував процедури для забезпечення відсутності конфлікту інтересів, і за результатами нашої перевірки ми не виявили нічого, що могло б свідчити про потенційний конфлікт інтересів. Учасник надав необхідне письмове підтвердження".</w:t>
            </w:r>
          </w:p>
        </w:tc>
      </w:tr>
    </w:tbl>
    <w:p w14:paraId="0966C9C6" w14:textId="77777777" w:rsidR="004111A3" w:rsidRDefault="004111A3"/>
    <w:p w14:paraId="475776B0"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Проїзд та проживання (C.1)</w:t>
      </w:r>
    </w:p>
    <w:tbl>
      <w:tblPr>
        <w:tblStyle w:val="afff1"/>
        <w:tblpPr w:leftFromText="180" w:rightFromText="180" w:vertAnchor="text" w:tblpY="1"/>
        <w:tblW w:w="15037"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076"/>
        <w:gridCol w:w="6"/>
        <w:gridCol w:w="1342"/>
        <w:gridCol w:w="6332"/>
        <w:gridCol w:w="7"/>
        <w:gridCol w:w="4844"/>
        <w:gridCol w:w="7"/>
        <w:gridCol w:w="1406"/>
        <w:gridCol w:w="17"/>
      </w:tblGrid>
      <w:tr w:rsidR="004111A3" w14:paraId="6B4817D9" w14:textId="77777777">
        <w:trPr>
          <w:tblHeader/>
        </w:trPr>
        <w:tc>
          <w:tcPr>
            <w:tcW w:w="15037" w:type="dxa"/>
            <w:gridSpan w:val="9"/>
            <w:shd w:val="clear" w:color="auto" w:fill="EBF1DD"/>
          </w:tcPr>
          <w:p w14:paraId="01711BE7" w14:textId="77777777" w:rsidR="004111A3" w:rsidRDefault="00A909B0">
            <w:pPr>
              <w:spacing w:before="120" w:after="120"/>
              <w:ind w:left="132"/>
              <w:jc w:val="left"/>
              <w:rPr>
                <w:b/>
                <w:color w:val="000000"/>
                <w:sz w:val="20"/>
                <w:szCs w:val="20"/>
              </w:rPr>
            </w:pPr>
            <w:r>
              <w:rPr>
                <w:b/>
                <w:color w:val="000000"/>
                <w:sz w:val="20"/>
                <w:szCs w:val="20"/>
              </w:rPr>
              <w:t>ПОГОДЖЕНІ CFS ПРОЦЕДУРИ -  Витрати на проїзд та проживання (C.1)</w:t>
            </w:r>
          </w:p>
        </w:tc>
      </w:tr>
      <w:tr w:rsidR="004111A3" w14:paraId="68E33F0C" w14:textId="77777777">
        <w:trPr>
          <w:tblHeader/>
        </w:trPr>
        <w:tc>
          <w:tcPr>
            <w:tcW w:w="1076" w:type="dxa"/>
            <w:shd w:val="clear" w:color="auto" w:fill="EBF1DD"/>
          </w:tcPr>
          <w:p w14:paraId="47C7E31B"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348" w:type="dxa"/>
            <w:gridSpan w:val="2"/>
            <w:shd w:val="clear" w:color="auto" w:fill="EBF1DD"/>
            <w:vAlign w:val="center"/>
          </w:tcPr>
          <w:p w14:paraId="5A60712D"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339" w:type="dxa"/>
            <w:gridSpan w:val="2"/>
            <w:shd w:val="clear" w:color="auto" w:fill="EBF1DD"/>
            <w:vAlign w:val="center"/>
          </w:tcPr>
          <w:p w14:paraId="40E2BA8B" w14:textId="77777777" w:rsidR="004111A3" w:rsidRDefault="00A909B0">
            <w:pPr>
              <w:spacing w:before="120" w:after="120"/>
              <w:ind w:left="132"/>
              <w:jc w:val="center"/>
              <w:rPr>
                <w:b/>
                <w:color w:val="000000"/>
                <w:sz w:val="20"/>
                <w:szCs w:val="20"/>
              </w:rPr>
            </w:pPr>
            <w:r>
              <w:rPr>
                <w:b/>
                <w:color w:val="000000"/>
                <w:sz w:val="20"/>
                <w:szCs w:val="20"/>
              </w:rPr>
              <w:t>Процедури</w:t>
            </w:r>
          </w:p>
        </w:tc>
        <w:tc>
          <w:tcPr>
            <w:tcW w:w="4851" w:type="dxa"/>
            <w:gridSpan w:val="2"/>
            <w:shd w:val="clear" w:color="auto" w:fill="EBF1DD"/>
            <w:vAlign w:val="center"/>
          </w:tcPr>
          <w:p w14:paraId="551B2F40" w14:textId="77777777" w:rsidR="004111A3" w:rsidRDefault="00A909B0">
            <w:pPr>
              <w:spacing w:before="120" w:after="120"/>
              <w:ind w:left="132"/>
              <w:jc w:val="center"/>
              <w:rPr>
                <w:b/>
                <w:color w:val="000000"/>
                <w:sz w:val="20"/>
                <w:szCs w:val="20"/>
              </w:rPr>
            </w:pPr>
            <w:r>
              <w:rPr>
                <w:b/>
                <w:color w:val="000000"/>
                <w:sz w:val="20"/>
                <w:szCs w:val="20"/>
              </w:rPr>
              <w:t>Стандартний висновок</w:t>
            </w:r>
          </w:p>
        </w:tc>
        <w:tc>
          <w:tcPr>
            <w:tcW w:w="1423" w:type="dxa"/>
            <w:gridSpan w:val="2"/>
            <w:shd w:val="clear" w:color="auto" w:fill="EBF1DD"/>
            <w:vAlign w:val="center"/>
          </w:tcPr>
          <w:p w14:paraId="0EF09267" w14:textId="77777777" w:rsidR="004111A3" w:rsidRDefault="00A909B0">
            <w:pPr>
              <w:spacing w:before="120" w:after="120"/>
              <w:jc w:val="center"/>
              <w:rPr>
                <w:b/>
                <w:color w:val="000000"/>
                <w:sz w:val="20"/>
                <w:szCs w:val="20"/>
              </w:rPr>
            </w:pPr>
            <w:r>
              <w:rPr>
                <w:b/>
                <w:color w:val="000000"/>
                <w:sz w:val="20"/>
                <w:szCs w:val="20"/>
              </w:rPr>
              <w:t>Результат</w:t>
            </w:r>
          </w:p>
          <w:p w14:paraId="3E2D3F54" w14:textId="77777777" w:rsidR="004111A3" w:rsidRDefault="00A909B0">
            <w:pPr>
              <w:spacing w:before="120" w:after="120"/>
              <w:jc w:val="center"/>
              <w:rPr>
                <w:b/>
                <w:color w:val="000000"/>
                <w:sz w:val="20"/>
                <w:szCs w:val="20"/>
              </w:rPr>
            </w:pPr>
            <w:r>
              <w:rPr>
                <w:b/>
                <w:color w:val="000000"/>
                <w:sz w:val="20"/>
                <w:szCs w:val="20"/>
              </w:rPr>
              <w:t>(ТАК / НІ / Н.З.)</w:t>
            </w:r>
          </w:p>
        </w:tc>
      </w:tr>
      <w:tr w:rsidR="004111A3" w14:paraId="5516BBBC" w14:textId="77777777">
        <w:tc>
          <w:tcPr>
            <w:tcW w:w="1076" w:type="dxa"/>
            <w:shd w:val="clear" w:color="auto" w:fill="EBF1DD"/>
          </w:tcPr>
          <w:p w14:paraId="70F69EC6" w14:textId="77777777" w:rsidR="004111A3" w:rsidRDefault="00A909B0">
            <w:pPr>
              <w:spacing w:before="120" w:after="120"/>
              <w:jc w:val="center"/>
              <w:rPr>
                <w:b/>
                <w:color w:val="000000"/>
                <w:sz w:val="20"/>
                <w:szCs w:val="20"/>
              </w:rPr>
            </w:pPr>
            <w:r>
              <w:rPr>
                <w:b/>
                <w:color w:val="000000"/>
                <w:sz w:val="20"/>
                <w:szCs w:val="20"/>
              </w:rPr>
              <w:t>Стаття 6.2.C.1</w:t>
            </w:r>
          </w:p>
        </w:tc>
        <w:tc>
          <w:tcPr>
            <w:tcW w:w="1348" w:type="dxa"/>
            <w:gridSpan w:val="2"/>
            <w:shd w:val="clear" w:color="auto" w:fill="EBF1DD"/>
            <w:vAlign w:val="center"/>
          </w:tcPr>
          <w:p w14:paraId="403615F4" w14:textId="77777777" w:rsidR="004111A3" w:rsidRDefault="00A909B0">
            <w:pPr>
              <w:spacing w:before="240" w:after="240"/>
              <w:jc w:val="center"/>
              <w:rPr>
                <w:b/>
                <w:color w:val="000000"/>
                <w:sz w:val="20"/>
                <w:szCs w:val="20"/>
              </w:rPr>
            </w:pPr>
            <w:r>
              <w:rPr>
                <w:b/>
                <w:color w:val="000000"/>
                <w:sz w:val="20"/>
                <w:szCs w:val="20"/>
              </w:rPr>
              <w:t>C.1</w:t>
            </w:r>
          </w:p>
        </w:tc>
        <w:tc>
          <w:tcPr>
            <w:tcW w:w="12613" w:type="dxa"/>
            <w:gridSpan w:val="6"/>
            <w:shd w:val="clear" w:color="auto" w:fill="EBF1DD"/>
          </w:tcPr>
          <w:p w14:paraId="75F50D93" w14:textId="77777777" w:rsidR="004111A3" w:rsidRDefault="00A909B0">
            <w:pPr>
              <w:spacing w:before="240" w:after="240"/>
              <w:ind w:left="132"/>
              <w:jc w:val="left"/>
              <w:rPr>
                <w:color w:val="000000"/>
                <w:sz w:val="20"/>
                <w:szCs w:val="20"/>
              </w:rPr>
            </w:pPr>
            <w:r>
              <w:rPr>
                <w:b/>
                <w:color w:val="000000"/>
                <w:sz w:val="20"/>
                <w:szCs w:val="20"/>
              </w:rPr>
              <w:t>Витрати на проїзд та проживання</w:t>
            </w:r>
          </w:p>
        </w:tc>
      </w:tr>
      <w:tr w:rsidR="004111A3" w14:paraId="76799127" w14:textId="77777777">
        <w:trPr>
          <w:gridAfter w:val="1"/>
          <w:wAfter w:w="17" w:type="dxa"/>
        </w:trPr>
        <w:tc>
          <w:tcPr>
            <w:tcW w:w="1082" w:type="dxa"/>
            <w:gridSpan w:val="2"/>
            <w:vMerge w:val="restart"/>
            <w:tcBorders>
              <w:top w:val="nil"/>
            </w:tcBorders>
          </w:tcPr>
          <w:p w14:paraId="642CF489" w14:textId="77777777" w:rsidR="004111A3" w:rsidRDefault="00A909B0">
            <w:pPr>
              <w:spacing w:before="120" w:after="120"/>
              <w:jc w:val="center"/>
              <w:rPr>
                <w:b/>
                <w:color w:val="000000"/>
                <w:sz w:val="20"/>
                <w:szCs w:val="20"/>
              </w:rPr>
            </w:pPr>
            <w:r>
              <w:rPr>
                <w:b/>
                <w:color w:val="000000"/>
                <w:sz w:val="20"/>
                <w:szCs w:val="20"/>
              </w:rPr>
              <w:t>Стаття 6.2.C.1</w:t>
            </w:r>
          </w:p>
        </w:tc>
        <w:tc>
          <w:tcPr>
            <w:tcW w:w="1342" w:type="dxa"/>
            <w:vMerge w:val="restart"/>
          </w:tcPr>
          <w:p w14:paraId="2BAE126C" w14:textId="77777777" w:rsidR="004111A3" w:rsidRDefault="00A909B0">
            <w:pPr>
              <w:spacing w:before="120" w:after="120"/>
              <w:jc w:val="center"/>
              <w:rPr>
                <w:b/>
                <w:color w:val="000000"/>
                <w:sz w:val="20"/>
                <w:szCs w:val="20"/>
              </w:rPr>
            </w:pPr>
            <w:r>
              <w:rPr>
                <w:b/>
                <w:color w:val="000000"/>
                <w:sz w:val="20"/>
                <w:szCs w:val="20"/>
              </w:rPr>
              <w:t>C.1 Проїзд та проживання</w:t>
            </w:r>
          </w:p>
          <w:p w14:paraId="50058D3A" w14:textId="77777777" w:rsidR="004111A3" w:rsidRDefault="00A909B0">
            <w:pPr>
              <w:spacing w:before="120" w:after="120"/>
              <w:jc w:val="center"/>
              <w:rPr>
                <w:i/>
                <w:color w:val="7030A0"/>
                <w:sz w:val="20"/>
                <w:szCs w:val="20"/>
              </w:rPr>
            </w:pPr>
            <w:r>
              <w:rPr>
                <w:i/>
                <w:color w:val="7030A0"/>
                <w:sz w:val="20"/>
                <w:szCs w:val="20"/>
              </w:rPr>
              <w:lastRenderedPageBreak/>
              <w:t>(всі програми, крім RFCS, CCEI)</w:t>
            </w:r>
          </w:p>
          <w:p w14:paraId="0007DBAA" w14:textId="77777777" w:rsidR="004111A3" w:rsidRDefault="00A909B0">
            <w:pPr>
              <w:spacing w:before="120" w:after="120"/>
              <w:jc w:val="center"/>
              <w:rPr>
                <w:b/>
                <w:color w:val="000000"/>
                <w:sz w:val="20"/>
                <w:szCs w:val="20"/>
              </w:rPr>
            </w:pPr>
            <w:r>
              <w:rPr>
                <w:b/>
                <w:color w:val="000000"/>
                <w:sz w:val="20"/>
                <w:szCs w:val="20"/>
              </w:rPr>
              <w:t>C.1 Якщо фактичні витрати:</w:t>
            </w:r>
          </w:p>
          <w:p w14:paraId="4882CA52" w14:textId="77777777" w:rsidR="004111A3" w:rsidRDefault="00A909B0">
            <w:pPr>
              <w:spacing w:before="120" w:after="120"/>
              <w:jc w:val="center"/>
              <w:rPr>
                <w:b/>
                <w:color w:val="000000"/>
                <w:sz w:val="20"/>
                <w:szCs w:val="20"/>
              </w:rPr>
            </w:pPr>
            <w:r>
              <w:rPr>
                <w:i/>
                <w:color w:val="7030A0"/>
                <w:sz w:val="20"/>
                <w:szCs w:val="20"/>
              </w:rPr>
              <w:t>(HE, DEP, EDF, CEF, LIFE, AGRIP, HUMA)</w:t>
            </w:r>
          </w:p>
        </w:tc>
        <w:tc>
          <w:tcPr>
            <w:tcW w:w="6332" w:type="dxa"/>
            <w:shd w:val="clear" w:color="auto" w:fill="auto"/>
            <w:tcMar>
              <w:top w:w="0" w:type="dxa"/>
              <w:left w:w="108" w:type="dxa"/>
              <w:bottom w:w="0" w:type="dxa"/>
              <w:right w:w="108" w:type="dxa"/>
            </w:tcMar>
          </w:tcPr>
          <w:p w14:paraId="5C988328" w14:textId="77777777" w:rsidR="004111A3" w:rsidRDefault="00A909B0">
            <w:pPr>
              <w:spacing w:before="120" w:after="120"/>
              <w:jc w:val="left"/>
              <w:rPr>
                <w:b/>
                <w:i/>
                <w:color w:val="000000"/>
                <w:sz w:val="20"/>
                <w:szCs w:val="20"/>
              </w:rPr>
            </w:pPr>
            <w:r>
              <w:rPr>
                <w:b/>
                <w:i/>
                <w:color w:val="000000"/>
                <w:sz w:val="20"/>
                <w:szCs w:val="20"/>
              </w:rPr>
              <w:lastRenderedPageBreak/>
              <w:t xml:space="preserve">Спеціаліст формує вибірку для проведення процедур за цією категорією витрат. Вибірка повинна бути відібрана випадковим чином. Вона має охоплювати 10% усіх випадків поїздок (витрати на транспорт, проживання та добові разом вважаються одним </w:t>
            </w:r>
            <w:r>
              <w:rPr>
                <w:b/>
                <w:i/>
                <w:color w:val="000000"/>
                <w:sz w:val="20"/>
                <w:szCs w:val="20"/>
              </w:rPr>
              <w:lastRenderedPageBreak/>
              <w:t>випадком), за які були задекларовані витрати, з мінімальною вибіркою в 10 поїздок (або всі, якщо було задекларовано менше 10 поїздок).</w:t>
            </w:r>
          </w:p>
          <w:p w14:paraId="61EC7510" w14:textId="77777777" w:rsidR="004111A3" w:rsidRDefault="00A909B0">
            <w:pPr>
              <w:spacing w:before="120" w:after="120"/>
              <w:jc w:val="left"/>
              <w:rPr>
                <w:color w:val="000000"/>
                <w:sz w:val="20"/>
                <w:szCs w:val="20"/>
              </w:rPr>
            </w:pPr>
            <w:r>
              <w:rPr>
                <w:color w:val="000000"/>
                <w:sz w:val="20"/>
                <w:szCs w:val="20"/>
              </w:rPr>
              <w:t xml:space="preserve">Фахівець зробив вибірку </w:t>
            </w:r>
            <w:r>
              <w:rPr>
                <w:color w:val="000000"/>
                <w:sz w:val="20"/>
                <w:szCs w:val="20"/>
                <w:highlight w:val="lightGray"/>
              </w:rPr>
              <w:t>_____</w:t>
            </w:r>
            <w:r>
              <w:rPr>
                <w:color w:val="000000"/>
                <w:sz w:val="20"/>
                <w:szCs w:val="20"/>
              </w:rPr>
              <w:t xml:space="preserve"> </w:t>
            </w:r>
            <w:r>
              <w:t xml:space="preserve"> </w:t>
            </w:r>
            <w:r>
              <w:rPr>
                <w:color w:val="000000"/>
                <w:sz w:val="20"/>
                <w:szCs w:val="20"/>
              </w:rPr>
              <w:t xml:space="preserve">подорожей із загальної кількості </w:t>
            </w:r>
            <w:r>
              <w:rPr>
                <w:color w:val="000000"/>
                <w:sz w:val="20"/>
                <w:szCs w:val="20"/>
                <w:highlight w:val="lightGray"/>
              </w:rPr>
              <w:t>_____</w:t>
            </w:r>
            <w:r>
              <w:rPr>
                <w:color w:val="000000"/>
                <w:sz w:val="20"/>
                <w:szCs w:val="20"/>
              </w:rPr>
              <w:t>.</w:t>
            </w:r>
          </w:p>
        </w:tc>
        <w:tc>
          <w:tcPr>
            <w:tcW w:w="6264" w:type="dxa"/>
            <w:gridSpan w:val="4"/>
            <w:shd w:val="clear" w:color="auto" w:fill="F2F2F2"/>
            <w:tcMar>
              <w:top w:w="0" w:type="dxa"/>
              <w:left w:w="108" w:type="dxa"/>
              <w:bottom w:w="0" w:type="dxa"/>
              <w:right w:w="108" w:type="dxa"/>
            </w:tcMar>
          </w:tcPr>
          <w:p w14:paraId="4753D75B" w14:textId="77777777" w:rsidR="004111A3" w:rsidRDefault="004111A3">
            <w:pPr>
              <w:spacing w:before="120" w:after="120"/>
              <w:rPr>
                <w:color w:val="000000"/>
                <w:sz w:val="20"/>
                <w:szCs w:val="20"/>
              </w:rPr>
            </w:pPr>
          </w:p>
        </w:tc>
      </w:tr>
      <w:tr w:rsidR="004111A3" w14:paraId="16410A4F" w14:textId="77777777">
        <w:trPr>
          <w:gridAfter w:val="1"/>
          <w:wAfter w:w="17" w:type="dxa"/>
          <w:trHeight w:val="614"/>
        </w:trPr>
        <w:tc>
          <w:tcPr>
            <w:tcW w:w="1082" w:type="dxa"/>
            <w:gridSpan w:val="2"/>
            <w:vMerge/>
            <w:tcBorders>
              <w:top w:val="nil"/>
            </w:tcBorders>
          </w:tcPr>
          <w:p w14:paraId="30C26FD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2E4A644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val="restart"/>
            <w:shd w:val="clear" w:color="auto" w:fill="auto"/>
            <w:tcMar>
              <w:top w:w="0" w:type="dxa"/>
              <w:left w:w="108" w:type="dxa"/>
              <w:bottom w:w="0" w:type="dxa"/>
              <w:right w:w="108" w:type="dxa"/>
            </w:tcMar>
          </w:tcPr>
          <w:p w14:paraId="76F6B0D7" w14:textId="77777777" w:rsidR="004111A3" w:rsidRDefault="00A909B0">
            <w:pPr>
              <w:spacing w:before="120" w:after="120"/>
              <w:jc w:val="left"/>
              <w:rPr>
                <w:color w:val="000000"/>
                <w:sz w:val="20"/>
                <w:szCs w:val="20"/>
              </w:rPr>
            </w:pPr>
            <w:r>
              <w:rPr>
                <w:b/>
                <w:i/>
                <w:color w:val="000000"/>
                <w:sz w:val="20"/>
                <w:szCs w:val="20"/>
              </w:rPr>
              <w:t>Для подорожей, що увійшли до вибірки:</w:t>
            </w:r>
          </w:p>
          <w:p w14:paraId="70EB2442" w14:textId="77777777" w:rsidR="004111A3" w:rsidRDefault="00A909B0">
            <w:pPr>
              <w:spacing w:before="120" w:after="120"/>
              <w:jc w:val="left"/>
              <w:rPr>
                <w:color w:val="000000"/>
                <w:sz w:val="20"/>
                <w:szCs w:val="20"/>
              </w:rPr>
            </w:pPr>
            <w:r>
              <w:rPr>
                <w:color w:val="000000"/>
                <w:sz w:val="20"/>
                <w:szCs w:val="20"/>
              </w:rPr>
              <w:t>Спеціаліст здійснив загальну перевірку прийнятності та неприйнятності витрат (див. вище).</w:t>
            </w:r>
          </w:p>
          <w:p w14:paraId="07DAF76F" w14:textId="77777777" w:rsidR="004111A3" w:rsidRDefault="00A909B0">
            <w:pPr>
              <w:spacing w:before="120" w:after="120"/>
              <w:jc w:val="left"/>
              <w:rPr>
                <w:color w:val="000000"/>
                <w:sz w:val="20"/>
                <w:szCs w:val="20"/>
              </w:rPr>
            </w:pPr>
            <w:r>
              <w:rPr>
                <w:color w:val="000000"/>
                <w:sz w:val="20"/>
                <w:szCs w:val="20"/>
              </w:rPr>
              <w:t>Експерт здійснив загальну перевірку прийнятності витрат на закупівлю (див. вище).</w:t>
            </w:r>
          </w:p>
          <w:p w14:paraId="76530FBF" w14:textId="77777777" w:rsidR="004111A3" w:rsidRDefault="00A909B0">
            <w:pPr>
              <w:spacing w:before="120" w:after="120"/>
              <w:jc w:val="left"/>
              <w:rPr>
                <w:color w:val="000000"/>
                <w:sz w:val="20"/>
                <w:szCs w:val="20"/>
              </w:rPr>
            </w:pPr>
            <w:r>
              <w:rPr>
                <w:color w:val="000000"/>
                <w:sz w:val="20"/>
                <w:szCs w:val="20"/>
              </w:rPr>
              <w:t>Для підтвердження стандартних висновків, наведених у наступній колонці, фахівець переглянув зразок і переконався що:</w:t>
            </w:r>
          </w:p>
          <w:p w14:paraId="6B901BF4"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витрати на проїзд та проживання відповідали звичайній політиці учасника щодо </w:t>
            </w:r>
            <w:proofErr w:type="spellStart"/>
            <w:r>
              <w:rPr>
                <w:color w:val="000000"/>
                <w:sz w:val="20"/>
                <w:szCs w:val="20"/>
              </w:rPr>
              <w:t>відряджень</w:t>
            </w:r>
            <w:proofErr w:type="spellEnd"/>
            <w:r>
              <w:rPr>
                <w:color w:val="000000"/>
                <w:sz w:val="20"/>
                <w:szCs w:val="20"/>
              </w:rPr>
              <w:t>. У цьому контексті учасник надав докази своєї звичайної політики щодо витрат на проїзд (наприклад, використання квитків першого класу, відшкодування витрат учасником на основі фактичних витрат, добові, внески на компенсацію викидів вуглецю), щоб фахівець міг порівняти витрати на проїзд, понесені відповідно до цієї політики.</w:t>
            </w:r>
          </w:p>
          <w:p w14:paraId="128D4C5D"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для випадків комбінованих поїздок учасник зберігав докази не лише фактичних витрат на наступний(і) етап(и) подорожі, але й вартість теоретичної прямої зворотної подорожі після закінчення роботи в рамках діяльності.</w:t>
            </w:r>
          </w:p>
          <w:p w14:paraId="51B754D7" w14:textId="77777777" w:rsidR="004111A3" w:rsidRDefault="00A909B0">
            <w:pPr>
              <w:numPr>
                <w:ilvl w:val="0"/>
                <w:numId w:val="2"/>
              </w:numPr>
              <w:spacing w:before="120" w:after="120"/>
              <w:ind w:left="504" w:hanging="330"/>
              <w:jc w:val="left"/>
              <w:rPr>
                <w:i/>
                <w:color w:val="000000"/>
                <w:sz w:val="20"/>
                <w:szCs w:val="20"/>
              </w:rPr>
            </w:pPr>
            <w:r>
              <w:rPr>
                <w:color w:val="000000"/>
                <w:sz w:val="20"/>
                <w:szCs w:val="20"/>
              </w:rPr>
              <w:t>витрати на відрядження визначаються та розподіляються на діяльність (наприклад, поїздки безпосередньо пов'язані з діяльністю, здійснюються протягом періоду діяльності тощо) шляхом вивчення відповідних підтверджуючих документів, таких як протоколи зустрічей, семінарів або конференцій, їх реєстрації на відповідному проектному рахунку, їх відповідності записам обліку робочого часу або датам/тривалості семінару/конференції.</w:t>
            </w:r>
          </w:p>
        </w:tc>
        <w:tc>
          <w:tcPr>
            <w:tcW w:w="4851" w:type="dxa"/>
            <w:gridSpan w:val="2"/>
            <w:shd w:val="clear" w:color="auto" w:fill="auto"/>
            <w:tcMar>
              <w:top w:w="0" w:type="dxa"/>
              <w:left w:w="108" w:type="dxa"/>
              <w:bottom w:w="0" w:type="dxa"/>
              <w:right w:w="108" w:type="dxa"/>
            </w:tcMar>
          </w:tcPr>
          <w:p w14:paraId="013E99C5" w14:textId="77777777" w:rsidR="004111A3" w:rsidRDefault="00A909B0">
            <w:pPr>
              <w:numPr>
                <w:ilvl w:val="0"/>
                <w:numId w:val="3"/>
              </w:numPr>
              <w:spacing w:before="120" w:after="120"/>
              <w:jc w:val="left"/>
              <w:rPr>
                <w:color w:val="000000"/>
                <w:sz w:val="20"/>
                <w:szCs w:val="20"/>
              </w:rPr>
            </w:pPr>
            <w:r>
              <w:rPr>
                <w:color w:val="000000"/>
                <w:sz w:val="20"/>
                <w:szCs w:val="20"/>
              </w:rPr>
              <w:t>Витрати були прийнятними (без неприйнятних компонентів), ідентифікованими та перевіреними, пов'язаними з проектом та понесеними учасником (підтвердження оплати, відсутність повторного виставлення рахунків іншим організаціям) протягом періоду дії проекту відповідно до його звичайної практики обліку витрат.</w:t>
            </w:r>
          </w:p>
        </w:tc>
        <w:tc>
          <w:tcPr>
            <w:tcW w:w="1413" w:type="dxa"/>
            <w:gridSpan w:val="2"/>
            <w:shd w:val="clear" w:color="auto" w:fill="auto"/>
          </w:tcPr>
          <w:p w14:paraId="599DCFFD"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3AD05FF" w14:textId="77777777">
        <w:trPr>
          <w:gridAfter w:val="1"/>
          <w:wAfter w:w="17" w:type="dxa"/>
          <w:trHeight w:val="612"/>
        </w:trPr>
        <w:tc>
          <w:tcPr>
            <w:tcW w:w="1082" w:type="dxa"/>
            <w:gridSpan w:val="2"/>
            <w:vMerge/>
            <w:tcBorders>
              <w:top w:val="nil"/>
            </w:tcBorders>
          </w:tcPr>
          <w:p w14:paraId="58353F2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0DC3CB4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shd w:val="clear" w:color="auto" w:fill="auto"/>
            <w:tcMar>
              <w:top w:w="0" w:type="dxa"/>
              <w:left w:w="108" w:type="dxa"/>
              <w:bottom w:w="0" w:type="dxa"/>
              <w:right w:w="108" w:type="dxa"/>
            </w:tcMar>
          </w:tcPr>
          <w:p w14:paraId="2B5B1B8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851" w:type="dxa"/>
            <w:gridSpan w:val="2"/>
            <w:shd w:val="clear" w:color="auto" w:fill="auto"/>
            <w:tcMar>
              <w:top w:w="0" w:type="dxa"/>
              <w:left w:w="108" w:type="dxa"/>
              <w:bottom w:w="0" w:type="dxa"/>
              <w:right w:w="108" w:type="dxa"/>
            </w:tcMar>
          </w:tcPr>
          <w:p w14:paraId="613C83C7" w14:textId="77777777" w:rsidR="004111A3" w:rsidRDefault="00A909B0">
            <w:pPr>
              <w:numPr>
                <w:ilvl w:val="0"/>
                <w:numId w:val="3"/>
              </w:numPr>
              <w:spacing w:before="120" w:after="120"/>
              <w:jc w:val="left"/>
              <w:rPr>
                <w:color w:val="000000"/>
                <w:sz w:val="20"/>
                <w:szCs w:val="20"/>
              </w:rPr>
            </w:pPr>
            <w:r>
              <w:rPr>
                <w:color w:val="000000"/>
                <w:sz w:val="20"/>
                <w:szCs w:val="20"/>
              </w:rPr>
              <w:t xml:space="preserve">Закупівлі здійснювалися із застосуванням звичайної практики </w:t>
            </w:r>
            <w:proofErr w:type="spellStart"/>
            <w:r>
              <w:rPr>
                <w:color w:val="000000"/>
                <w:sz w:val="20"/>
                <w:szCs w:val="20"/>
              </w:rPr>
              <w:t>закупівель</w:t>
            </w:r>
            <w:proofErr w:type="spellEnd"/>
            <w:r>
              <w:rPr>
                <w:color w:val="000000"/>
                <w:sz w:val="20"/>
                <w:szCs w:val="20"/>
              </w:rPr>
              <w:t xml:space="preserve"> учасника та, за необхідності, інших документів/процедур, необхідних для дотримання національного законодавства у сфері публічних </w:t>
            </w:r>
            <w:proofErr w:type="spellStart"/>
            <w:r>
              <w:rPr>
                <w:color w:val="000000"/>
                <w:sz w:val="20"/>
                <w:szCs w:val="20"/>
              </w:rPr>
              <w:t>закупівель</w:t>
            </w:r>
            <w:proofErr w:type="spellEnd"/>
            <w:r>
              <w:rPr>
                <w:color w:val="000000"/>
                <w:sz w:val="20"/>
                <w:szCs w:val="20"/>
              </w:rPr>
              <w:t>.</w:t>
            </w:r>
          </w:p>
        </w:tc>
        <w:tc>
          <w:tcPr>
            <w:tcW w:w="1413" w:type="dxa"/>
            <w:gridSpan w:val="2"/>
            <w:shd w:val="clear" w:color="auto" w:fill="auto"/>
          </w:tcPr>
          <w:p w14:paraId="699852CA"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3C841438" w14:textId="77777777">
        <w:trPr>
          <w:gridAfter w:val="1"/>
          <w:wAfter w:w="17" w:type="dxa"/>
          <w:trHeight w:val="612"/>
        </w:trPr>
        <w:tc>
          <w:tcPr>
            <w:tcW w:w="1082" w:type="dxa"/>
            <w:gridSpan w:val="2"/>
            <w:vMerge/>
            <w:tcBorders>
              <w:top w:val="nil"/>
            </w:tcBorders>
          </w:tcPr>
          <w:p w14:paraId="6FCBCFB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78EC95A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shd w:val="clear" w:color="auto" w:fill="auto"/>
            <w:tcMar>
              <w:top w:w="0" w:type="dxa"/>
              <w:left w:w="108" w:type="dxa"/>
              <w:bottom w:w="0" w:type="dxa"/>
              <w:right w:w="108" w:type="dxa"/>
            </w:tcMar>
          </w:tcPr>
          <w:p w14:paraId="27359FA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851" w:type="dxa"/>
            <w:gridSpan w:val="2"/>
            <w:shd w:val="clear" w:color="auto" w:fill="auto"/>
            <w:tcMar>
              <w:top w:w="0" w:type="dxa"/>
              <w:left w:w="108" w:type="dxa"/>
              <w:bottom w:w="0" w:type="dxa"/>
              <w:right w:w="108" w:type="dxa"/>
            </w:tcMar>
          </w:tcPr>
          <w:p w14:paraId="4F3A92DF" w14:textId="77777777" w:rsidR="004111A3" w:rsidRDefault="00A909B0">
            <w:pPr>
              <w:numPr>
                <w:ilvl w:val="0"/>
                <w:numId w:val="3"/>
              </w:numPr>
              <w:spacing w:before="120" w:after="120"/>
              <w:jc w:val="left"/>
              <w:rPr>
                <w:color w:val="000000"/>
                <w:sz w:val="20"/>
                <w:szCs w:val="20"/>
              </w:rPr>
            </w:pPr>
            <w:r>
              <w:rPr>
                <w:color w:val="000000"/>
                <w:sz w:val="20"/>
                <w:szCs w:val="20"/>
              </w:rPr>
              <w:t>Закупівлі здійснювалися за принципом найкращого співвідношення ціни та якості або за найнижчою ціною.</w:t>
            </w:r>
          </w:p>
        </w:tc>
        <w:tc>
          <w:tcPr>
            <w:tcW w:w="1413" w:type="dxa"/>
            <w:gridSpan w:val="2"/>
            <w:shd w:val="clear" w:color="auto" w:fill="auto"/>
          </w:tcPr>
          <w:p w14:paraId="1521609D"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31840211" w14:textId="77777777">
        <w:trPr>
          <w:gridAfter w:val="1"/>
          <w:wAfter w:w="17" w:type="dxa"/>
          <w:trHeight w:val="612"/>
        </w:trPr>
        <w:tc>
          <w:tcPr>
            <w:tcW w:w="1082" w:type="dxa"/>
            <w:gridSpan w:val="2"/>
            <w:vMerge/>
            <w:tcBorders>
              <w:top w:val="nil"/>
            </w:tcBorders>
          </w:tcPr>
          <w:p w14:paraId="3208702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08C255E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shd w:val="clear" w:color="auto" w:fill="auto"/>
            <w:tcMar>
              <w:top w:w="0" w:type="dxa"/>
              <w:left w:w="108" w:type="dxa"/>
              <w:bottom w:w="0" w:type="dxa"/>
              <w:right w:w="108" w:type="dxa"/>
            </w:tcMar>
          </w:tcPr>
          <w:p w14:paraId="2266C72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851" w:type="dxa"/>
            <w:gridSpan w:val="2"/>
            <w:shd w:val="clear" w:color="auto" w:fill="auto"/>
            <w:tcMar>
              <w:top w:w="0" w:type="dxa"/>
              <w:left w:w="108" w:type="dxa"/>
              <w:bottom w:w="0" w:type="dxa"/>
              <w:right w:w="108" w:type="dxa"/>
            </w:tcMar>
          </w:tcPr>
          <w:p w14:paraId="5BF1FDA6" w14:textId="77777777" w:rsidR="004111A3" w:rsidRDefault="00A909B0">
            <w:pPr>
              <w:numPr>
                <w:ilvl w:val="0"/>
                <w:numId w:val="3"/>
              </w:numPr>
              <w:spacing w:before="120" w:after="120"/>
              <w:jc w:val="left"/>
              <w:rPr>
                <w:color w:val="000000"/>
                <w:sz w:val="20"/>
                <w:szCs w:val="20"/>
              </w:rPr>
            </w:pPr>
            <w:r>
              <w:rPr>
                <w:color w:val="000000"/>
                <w:sz w:val="20"/>
                <w:szCs w:val="20"/>
              </w:rPr>
              <w:t>Учасник застосував процедури для забезпечення відсутності конфлікту інтересів, і за результатами нашої перевірки ми не виявили нічого, що могло б свідчити про потенційний конфлікт інтересів. Учасник надав необхідне письмове підтвердження.</w:t>
            </w:r>
          </w:p>
        </w:tc>
        <w:tc>
          <w:tcPr>
            <w:tcW w:w="1413" w:type="dxa"/>
            <w:gridSpan w:val="2"/>
            <w:shd w:val="clear" w:color="auto" w:fill="auto"/>
          </w:tcPr>
          <w:p w14:paraId="6D9CC023"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6EBAA696" w14:textId="77777777">
        <w:trPr>
          <w:gridAfter w:val="1"/>
          <w:wAfter w:w="17" w:type="dxa"/>
          <w:trHeight w:val="612"/>
        </w:trPr>
        <w:tc>
          <w:tcPr>
            <w:tcW w:w="1082" w:type="dxa"/>
            <w:gridSpan w:val="2"/>
            <w:vMerge/>
            <w:tcBorders>
              <w:top w:val="nil"/>
            </w:tcBorders>
          </w:tcPr>
          <w:p w14:paraId="305009B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099071A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shd w:val="clear" w:color="auto" w:fill="auto"/>
            <w:tcMar>
              <w:top w:w="0" w:type="dxa"/>
              <w:left w:w="108" w:type="dxa"/>
              <w:bottom w:w="0" w:type="dxa"/>
              <w:right w:w="108" w:type="dxa"/>
            </w:tcMar>
          </w:tcPr>
          <w:p w14:paraId="0565609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851" w:type="dxa"/>
            <w:gridSpan w:val="2"/>
            <w:shd w:val="clear" w:color="auto" w:fill="auto"/>
            <w:tcMar>
              <w:top w:w="0" w:type="dxa"/>
              <w:left w:w="108" w:type="dxa"/>
              <w:bottom w:w="0" w:type="dxa"/>
              <w:right w:w="108" w:type="dxa"/>
            </w:tcMar>
          </w:tcPr>
          <w:p w14:paraId="1D379F42" w14:textId="77777777" w:rsidR="004111A3" w:rsidRDefault="00A909B0">
            <w:pPr>
              <w:numPr>
                <w:ilvl w:val="0"/>
                <w:numId w:val="3"/>
              </w:numPr>
              <w:spacing w:before="120" w:after="120"/>
              <w:jc w:val="left"/>
              <w:rPr>
                <w:color w:val="000000"/>
                <w:sz w:val="20"/>
                <w:szCs w:val="20"/>
              </w:rPr>
            </w:pPr>
            <w:r>
              <w:rPr>
                <w:color w:val="000000"/>
                <w:sz w:val="20"/>
                <w:szCs w:val="20"/>
              </w:rPr>
              <w:t>Витрати були понесені, затверджені та відшкодовані відповідно до звичайної політики учасника щодо поїздок.</w:t>
            </w:r>
          </w:p>
        </w:tc>
        <w:tc>
          <w:tcPr>
            <w:tcW w:w="1413" w:type="dxa"/>
            <w:gridSpan w:val="2"/>
            <w:shd w:val="clear" w:color="auto" w:fill="auto"/>
          </w:tcPr>
          <w:p w14:paraId="79E55A00"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32ED2EC1" w14:textId="77777777">
        <w:trPr>
          <w:gridAfter w:val="1"/>
          <w:wAfter w:w="17" w:type="dxa"/>
          <w:trHeight w:val="612"/>
        </w:trPr>
        <w:tc>
          <w:tcPr>
            <w:tcW w:w="1082" w:type="dxa"/>
            <w:gridSpan w:val="2"/>
            <w:vMerge/>
            <w:tcBorders>
              <w:top w:val="nil"/>
            </w:tcBorders>
          </w:tcPr>
          <w:p w14:paraId="0995BA9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5024BEB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shd w:val="clear" w:color="auto" w:fill="auto"/>
            <w:tcMar>
              <w:top w:w="0" w:type="dxa"/>
              <w:left w:w="108" w:type="dxa"/>
              <w:bottom w:w="0" w:type="dxa"/>
              <w:right w:w="108" w:type="dxa"/>
            </w:tcMar>
          </w:tcPr>
          <w:p w14:paraId="2CB5A70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851" w:type="dxa"/>
            <w:gridSpan w:val="2"/>
            <w:shd w:val="clear" w:color="auto" w:fill="auto"/>
            <w:tcMar>
              <w:top w:w="0" w:type="dxa"/>
              <w:left w:w="108" w:type="dxa"/>
              <w:bottom w:w="0" w:type="dxa"/>
              <w:right w:w="108" w:type="dxa"/>
            </w:tcMar>
          </w:tcPr>
          <w:p w14:paraId="4FD6BAD9" w14:textId="77777777" w:rsidR="004111A3" w:rsidRDefault="00A909B0">
            <w:pPr>
              <w:numPr>
                <w:ilvl w:val="0"/>
                <w:numId w:val="3"/>
              </w:numPr>
              <w:spacing w:before="120" w:after="120"/>
              <w:jc w:val="left"/>
              <w:rPr>
                <w:color w:val="000000"/>
                <w:sz w:val="20"/>
                <w:szCs w:val="20"/>
              </w:rPr>
            </w:pPr>
            <w:r>
              <w:rPr>
                <w:color w:val="000000"/>
                <w:sz w:val="20"/>
                <w:szCs w:val="20"/>
              </w:rPr>
              <w:t>Існував зв'язок між поїздкою та діяльністю.</w:t>
            </w:r>
          </w:p>
        </w:tc>
        <w:tc>
          <w:tcPr>
            <w:tcW w:w="1413" w:type="dxa"/>
            <w:gridSpan w:val="2"/>
            <w:shd w:val="clear" w:color="auto" w:fill="auto"/>
          </w:tcPr>
          <w:p w14:paraId="7BCAECD9"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5821CF58" w14:textId="77777777">
        <w:trPr>
          <w:gridAfter w:val="1"/>
          <w:wAfter w:w="17" w:type="dxa"/>
          <w:trHeight w:val="612"/>
        </w:trPr>
        <w:tc>
          <w:tcPr>
            <w:tcW w:w="1082" w:type="dxa"/>
            <w:gridSpan w:val="2"/>
            <w:vMerge/>
            <w:tcBorders>
              <w:top w:val="nil"/>
            </w:tcBorders>
          </w:tcPr>
          <w:p w14:paraId="5027679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12BD347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shd w:val="clear" w:color="auto" w:fill="auto"/>
            <w:tcMar>
              <w:top w:w="0" w:type="dxa"/>
              <w:left w:w="108" w:type="dxa"/>
              <w:bottom w:w="0" w:type="dxa"/>
              <w:right w:w="108" w:type="dxa"/>
            </w:tcMar>
          </w:tcPr>
          <w:p w14:paraId="7F93813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851" w:type="dxa"/>
            <w:gridSpan w:val="2"/>
            <w:shd w:val="clear" w:color="auto" w:fill="auto"/>
            <w:tcMar>
              <w:top w:w="0" w:type="dxa"/>
              <w:left w:w="108" w:type="dxa"/>
              <w:bottom w:w="0" w:type="dxa"/>
              <w:right w:w="108" w:type="dxa"/>
            </w:tcMar>
          </w:tcPr>
          <w:p w14:paraId="58D01036" w14:textId="77777777" w:rsidR="004111A3" w:rsidRDefault="00A909B0">
            <w:pPr>
              <w:numPr>
                <w:ilvl w:val="0"/>
                <w:numId w:val="3"/>
              </w:numPr>
              <w:spacing w:before="120" w:after="120"/>
              <w:jc w:val="left"/>
              <w:rPr>
                <w:color w:val="000000"/>
                <w:sz w:val="20"/>
                <w:szCs w:val="20"/>
              </w:rPr>
            </w:pPr>
            <w:r>
              <w:rPr>
                <w:color w:val="000000"/>
                <w:sz w:val="20"/>
                <w:szCs w:val="20"/>
              </w:rPr>
              <w:t xml:space="preserve">Підтверджуючі документи узгоджувалися між собою щодо теми поїздки, дат, тривалості та </w:t>
            </w:r>
            <w:r>
              <w:rPr>
                <w:color w:val="000000"/>
                <w:sz w:val="20"/>
                <w:szCs w:val="20"/>
              </w:rPr>
              <w:lastRenderedPageBreak/>
              <w:t>звірялися з щомісячною декларацією про відпрацьований час на виконання діяльності / іншими достовірними записами та обліком часу.</w:t>
            </w:r>
          </w:p>
        </w:tc>
        <w:tc>
          <w:tcPr>
            <w:tcW w:w="1413" w:type="dxa"/>
            <w:gridSpan w:val="2"/>
            <w:shd w:val="clear" w:color="auto" w:fill="auto"/>
          </w:tcPr>
          <w:p w14:paraId="410AD889" w14:textId="77777777" w:rsidR="004111A3" w:rsidRDefault="00A909B0">
            <w:pPr>
              <w:spacing w:before="120" w:after="120"/>
              <w:jc w:val="center"/>
              <w:rPr>
                <w:color w:val="000000"/>
                <w:sz w:val="20"/>
                <w:szCs w:val="20"/>
              </w:rPr>
            </w:pPr>
            <w:r>
              <w:rPr>
                <w:color w:val="000000"/>
                <w:sz w:val="20"/>
                <w:szCs w:val="20"/>
              </w:rPr>
              <w:lastRenderedPageBreak/>
              <w:t>ТАК / НІ / Н.З.</w:t>
            </w:r>
          </w:p>
        </w:tc>
      </w:tr>
      <w:tr w:rsidR="004111A3" w14:paraId="47E13352" w14:textId="77777777">
        <w:trPr>
          <w:gridAfter w:val="1"/>
          <w:wAfter w:w="17" w:type="dxa"/>
          <w:trHeight w:val="612"/>
        </w:trPr>
        <w:tc>
          <w:tcPr>
            <w:tcW w:w="1082" w:type="dxa"/>
            <w:gridSpan w:val="2"/>
            <w:vMerge/>
            <w:tcBorders>
              <w:top w:val="nil"/>
            </w:tcBorders>
          </w:tcPr>
          <w:p w14:paraId="241C391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69C5E95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shd w:val="clear" w:color="auto" w:fill="auto"/>
            <w:tcMar>
              <w:top w:w="0" w:type="dxa"/>
              <w:left w:w="108" w:type="dxa"/>
              <w:bottom w:w="0" w:type="dxa"/>
              <w:right w:w="108" w:type="dxa"/>
            </w:tcMar>
          </w:tcPr>
          <w:p w14:paraId="68956FD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851" w:type="dxa"/>
            <w:gridSpan w:val="2"/>
            <w:shd w:val="clear" w:color="auto" w:fill="auto"/>
            <w:tcMar>
              <w:top w:w="0" w:type="dxa"/>
              <w:left w:w="108" w:type="dxa"/>
              <w:bottom w:w="0" w:type="dxa"/>
              <w:right w:w="108" w:type="dxa"/>
            </w:tcMar>
          </w:tcPr>
          <w:p w14:paraId="47F17981" w14:textId="77777777" w:rsidR="004111A3" w:rsidRDefault="00A909B0">
            <w:pPr>
              <w:numPr>
                <w:ilvl w:val="0"/>
                <w:numId w:val="3"/>
              </w:numPr>
              <w:spacing w:before="120" w:after="120"/>
              <w:jc w:val="left"/>
              <w:rPr>
                <w:color w:val="000000"/>
                <w:sz w:val="20"/>
                <w:szCs w:val="20"/>
              </w:rPr>
            </w:pPr>
            <w:r>
              <w:rPr>
                <w:color w:val="000000"/>
                <w:sz w:val="20"/>
                <w:szCs w:val="20"/>
              </w:rPr>
              <w:t>Підтверджуючі документи надсилаються на ім'я учасника.</w:t>
            </w:r>
          </w:p>
        </w:tc>
        <w:tc>
          <w:tcPr>
            <w:tcW w:w="1413" w:type="dxa"/>
            <w:gridSpan w:val="2"/>
            <w:shd w:val="clear" w:color="auto" w:fill="auto"/>
          </w:tcPr>
          <w:p w14:paraId="15CF2C3F"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934124C" w14:textId="77777777">
        <w:trPr>
          <w:gridAfter w:val="1"/>
          <w:wAfter w:w="17" w:type="dxa"/>
          <w:trHeight w:val="612"/>
        </w:trPr>
        <w:tc>
          <w:tcPr>
            <w:tcW w:w="1082" w:type="dxa"/>
            <w:gridSpan w:val="2"/>
            <w:vMerge/>
            <w:tcBorders>
              <w:top w:val="nil"/>
            </w:tcBorders>
          </w:tcPr>
          <w:p w14:paraId="257AA0B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342" w:type="dxa"/>
            <w:vMerge/>
          </w:tcPr>
          <w:p w14:paraId="6C75453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32" w:type="dxa"/>
            <w:vMerge/>
            <w:shd w:val="clear" w:color="auto" w:fill="auto"/>
            <w:tcMar>
              <w:top w:w="0" w:type="dxa"/>
              <w:left w:w="108" w:type="dxa"/>
              <w:bottom w:w="0" w:type="dxa"/>
              <w:right w:w="108" w:type="dxa"/>
            </w:tcMar>
          </w:tcPr>
          <w:p w14:paraId="69EDC8B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851" w:type="dxa"/>
            <w:gridSpan w:val="2"/>
            <w:shd w:val="clear" w:color="auto" w:fill="auto"/>
            <w:tcMar>
              <w:top w:w="0" w:type="dxa"/>
              <w:left w:w="108" w:type="dxa"/>
              <w:bottom w:w="0" w:type="dxa"/>
              <w:right w:w="108" w:type="dxa"/>
            </w:tcMar>
          </w:tcPr>
          <w:p w14:paraId="6239FE0D" w14:textId="77777777" w:rsidR="004111A3" w:rsidRDefault="00A909B0">
            <w:pPr>
              <w:numPr>
                <w:ilvl w:val="0"/>
                <w:numId w:val="3"/>
              </w:numPr>
              <w:spacing w:before="120" w:after="120"/>
              <w:jc w:val="left"/>
              <w:rPr>
                <w:color w:val="000000"/>
                <w:sz w:val="20"/>
                <w:szCs w:val="20"/>
              </w:rPr>
            </w:pPr>
            <w:r>
              <w:rPr>
                <w:color w:val="000000"/>
                <w:sz w:val="20"/>
                <w:szCs w:val="20"/>
              </w:rPr>
              <w:t>Витрати на комбіновану поїздку були віднесені на рахунок діяльності лише в межах витрат, які були б понесені, якби поїздка була здійснена виключно (підтверджено документально) для участі в діяльності, а комбінована поїздка є звичайною практикою учасника.</w:t>
            </w:r>
          </w:p>
        </w:tc>
        <w:tc>
          <w:tcPr>
            <w:tcW w:w="1413" w:type="dxa"/>
            <w:gridSpan w:val="2"/>
            <w:shd w:val="clear" w:color="auto" w:fill="auto"/>
          </w:tcPr>
          <w:p w14:paraId="65D4364D" w14:textId="77777777" w:rsidR="004111A3" w:rsidRDefault="004111A3">
            <w:pPr>
              <w:spacing w:before="120" w:after="120"/>
              <w:jc w:val="center"/>
              <w:rPr>
                <w:color w:val="000000"/>
                <w:sz w:val="20"/>
                <w:szCs w:val="20"/>
              </w:rPr>
            </w:pPr>
          </w:p>
        </w:tc>
      </w:tr>
      <w:tr w:rsidR="004111A3" w14:paraId="155E4BE1" w14:textId="77777777">
        <w:trPr>
          <w:gridAfter w:val="1"/>
          <w:wAfter w:w="17" w:type="dxa"/>
        </w:trPr>
        <w:tc>
          <w:tcPr>
            <w:tcW w:w="1082" w:type="dxa"/>
            <w:gridSpan w:val="2"/>
          </w:tcPr>
          <w:p w14:paraId="7DAEBDC7" w14:textId="77777777" w:rsidR="004111A3" w:rsidRDefault="004111A3">
            <w:pPr>
              <w:spacing w:before="120" w:after="120"/>
              <w:jc w:val="center"/>
              <w:rPr>
                <w:b/>
                <w:color w:val="000000"/>
                <w:sz w:val="20"/>
                <w:szCs w:val="20"/>
              </w:rPr>
            </w:pPr>
          </w:p>
        </w:tc>
        <w:tc>
          <w:tcPr>
            <w:tcW w:w="1342" w:type="dxa"/>
          </w:tcPr>
          <w:p w14:paraId="33B38922" w14:textId="77777777" w:rsidR="004111A3" w:rsidRDefault="00A909B0">
            <w:pPr>
              <w:spacing w:before="120" w:after="120"/>
              <w:jc w:val="center"/>
              <w:rPr>
                <w:i/>
                <w:color w:val="7030A0"/>
                <w:sz w:val="20"/>
                <w:szCs w:val="20"/>
              </w:rPr>
            </w:pPr>
            <w:r>
              <w:rPr>
                <w:b/>
                <w:color w:val="000000"/>
                <w:sz w:val="20"/>
                <w:szCs w:val="20"/>
              </w:rPr>
              <w:t xml:space="preserve">C.1 </w:t>
            </w:r>
            <w:r>
              <w:t xml:space="preserve"> </w:t>
            </w:r>
            <w:r>
              <w:rPr>
                <w:b/>
                <w:color w:val="000000"/>
                <w:sz w:val="20"/>
                <w:szCs w:val="20"/>
              </w:rPr>
              <w:t xml:space="preserve">Якщо витрати на одиницю: </w:t>
            </w:r>
          </w:p>
          <w:p w14:paraId="09A0B15A" w14:textId="77777777" w:rsidR="004111A3" w:rsidRDefault="00A909B0">
            <w:pPr>
              <w:spacing w:before="120" w:after="120"/>
              <w:jc w:val="center"/>
              <w:rPr>
                <w:color w:val="7030A0"/>
                <w:sz w:val="20"/>
                <w:szCs w:val="20"/>
              </w:rPr>
            </w:pPr>
            <w:r>
              <w:rPr>
                <w:color w:val="7030A0"/>
                <w:sz w:val="20"/>
                <w:szCs w:val="20"/>
              </w:rPr>
              <w:t>(більшість програм, наприклад, I3, ERDF-TA, IMREG, EMFAF, IMCAP, SMP, ERASMUS, CREA, SERV, JUST, ESF/SOCPL, EU4H, AMIF/ISF/BMVI, EUAF, CUST/FISC, PERI (частково), TSI, UCPM)</w:t>
            </w:r>
          </w:p>
        </w:tc>
        <w:tc>
          <w:tcPr>
            <w:tcW w:w="12596" w:type="dxa"/>
            <w:gridSpan w:val="5"/>
            <w:shd w:val="clear" w:color="auto" w:fill="F2F2F2"/>
            <w:tcMar>
              <w:top w:w="0" w:type="dxa"/>
              <w:left w:w="108" w:type="dxa"/>
              <w:bottom w:w="0" w:type="dxa"/>
              <w:right w:w="108" w:type="dxa"/>
            </w:tcMar>
          </w:tcPr>
          <w:p w14:paraId="74C06E8F" w14:textId="77777777" w:rsidR="004111A3" w:rsidRDefault="00A909B0">
            <w:pPr>
              <w:spacing w:before="120" w:after="120"/>
              <w:jc w:val="left"/>
              <w:rPr>
                <w:color w:val="000000"/>
                <w:sz w:val="20"/>
                <w:szCs w:val="20"/>
              </w:rPr>
            </w:pPr>
            <w:r>
              <w:rPr>
                <w:color w:val="000000"/>
                <w:sz w:val="20"/>
                <w:szCs w:val="20"/>
              </w:rPr>
              <w:t>N/A</w:t>
            </w:r>
          </w:p>
        </w:tc>
      </w:tr>
    </w:tbl>
    <w:p w14:paraId="5D91A7D1" w14:textId="77777777" w:rsidR="004111A3" w:rsidRDefault="004111A3"/>
    <w:p w14:paraId="37DFD5CB"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Обладнання (C.2)</w:t>
      </w:r>
    </w:p>
    <w:tbl>
      <w:tblPr>
        <w:tblStyle w:val="afff2"/>
        <w:tblW w:w="14975"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148"/>
        <w:gridCol w:w="1134"/>
        <w:gridCol w:w="6273"/>
        <w:gridCol w:w="30"/>
        <w:gridCol w:w="4931"/>
        <w:gridCol w:w="30"/>
        <w:gridCol w:w="1388"/>
        <w:gridCol w:w="30"/>
        <w:gridCol w:w="11"/>
      </w:tblGrid>
      <w:tr w:rsidR="004111A3" w14:paraId="6CCB802F" w14:textId="77777777">
        <w:trPr>
          <w:tblHeader/>
        </w:trPr>
        <w:tc>
          <w:tcPr>
            <w:tcW w:w="14976" w:type="dxa"/>
            <w:gridSpan w:val="9"/>
            <w:shd w:val="clear" w:color="auto" w:fill="EBF1DD"/>
          </w:tcPr>
          <w:p w14:paraId="2119908F" w14:textId="77777777" w:rsidR="004111A3" w:rsidRDefault="00A909B0">
            <w:pPr>
              <w:spacing w:before="120" w:after="120"/>
              <w:ind w:left="142"/>
              <w:jc w:val="left"/>
              <w:rPr>
                <w:b/>
                <w:color w:val="FF0000"/>
                <w:sz w:val="20"/>
                <w:szCs w:val="20"/>
              </w:rPr>
            </w:pPr>
            <w:r>
              <w:rPr>
                <w:b/>
                <w:color w:val="FF0000"/>
                <w:sz w:val="20"/>
                <w:szCs w:val="20"/>
              </w:rPr>
              <w:lastRenderedPageBreak/>
              <w:t>ПОГОДЖЕНІ CFS ПРОЦЕДУРИ - Витрати на обладнання (C.2)</w:t>
            </w:r>
          </w:p>
        </w:tc>
      </w:tr>
      <w:tr w:rsidR="004111A3" w14:paraId="4597732E" w14:textId="77777777">
        <w:trPr>
          <w:gridAfter w:val="1"/>
          <w:wAfter w:w="11" w:type="dxa"/>
          <w:tblHeader/>
        </w:trPr>
        <w:tc>
          <w:tcPr>
            <w:tcW w:w="1149" w:type="dxa"/>
            <w:shd w:val="clear" w:color="auto" w:fill="EBF1DD"/>
          </w:tcPr>
          <w:p w14:paraId="56017ACB"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134" w:type="dxa"/>
            <w:shd w:val="clear" w:color="auto" w:fill="EBF1DD"/>
            <w:vAlign w:val="center"/>
          </w:tcPr>
          <w:p w14:paraId="11D090FF"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303" w:type="dxa"/>
            <w:gridSpan w:val="2"/>
            <w:shd w:val="clear" w:color="auto" w:fill="EBF1DD"/>
            <w:tcMar>
              <w:top w:w="0" w:type="dxa"/>
              <w:left w:w="108" w:type="dxa"/>
              <w:bottom w:w="0" w:type="dxa"/>
              <w:right w:w="108" w:type="dxa"/>
            </w:tcMar>
            <w:vAlign w:val="center"/>
          </w:tcPr>
          <w:p w14:paraId="0957328C" w14:textId="77777777" w:rsidR="004111A3" w:rsidRDefault="00A909B0">
            <w:pPr>
              <w:spacing w:before="120" w:after="120"/>
              <w:jc w:val="center"/>
              <w:rPr>
                <w:b/>
                <w:color w:val="000000"/>
                <w:sz w:val="20"/>
                <w:szCs w:val="20"/>
              </w:rPr>
            </w:pPr>
            <w:r>
              <w:rPr>
                <w:b/>
                <w:color w:val="000000"/>
                <w:sz w:val="20"/>
                <w:szCs w:val="20"/>
              </w:rPr>
              <w:t>Процедури</w:t>
            </w:r>
          </w:p>
        </w:tc>
        <w:tc>
          <w:tcPr>
            <w:tcW w:w="4961" w:type="dxa"/>
            <w:gridSpan w:val="2"/>
            <w:shd w:val="clear" w:color="auto" w:fill="EBF1DD"/>
            <w:vAlign w:val="center"/>
          </w:tcPr>
          <w:p w14:paraId="713AE944"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418" w:type="dxa"/>
            <w:gridSpan w:val="2"/>
            <w:shd w:val="clear" w:color="auto" w:fill="EBF1DD"/>
            <w:vAlign w:val="center"/>
          </w:tcPr>
          <w:p w14:paraId="7C13CFAF" w14:textId="77777777" w:rsidR="004111A3" w:rsidRDefault="00A909B0">
            <w:pPr>
              <w:spacing w:before="120" w:after="120"/>
              <w:jc w:val="center"/>
              <w:rPr>
                <w:b/>
                <w:color w:val="000000"/>
                <w:sz w:val="20"/>
                <w:szCs w:val="20"/>
              </w:rPr>
            </w:pPr>
            <w:r>
              <w:rPr>
                <w:b/>
                <w:color w:val="000000"/>
                <w:sz w:val="20"/>
                <w:szCs w:val="20"/>
              </w:rPr>
              <w:t>Результат</w:t>
            </w:r>
          </w:p>
          <w:p w14:paraId="1F1361B1" w14:textId="77777777" w:rsidR="004111A3" w:rsidRDefault="00A909B0">
            <w:pPr>
              <w:spacing w:before="120" w:after="120"/>
              <w:jc w:val="center"/>
              <w:rPr>
                <w:b/>
                <w:color w:val="000000"/>
                <w:sz w:val="20"/>
                <w:szCs w:val="20"/>
              </w:rPr>
            </w:pPr>
            <w:r>
              <w:rPr>
                <w:b/>
                <w:color w:val="000000"/>
                <w:sz w:val="20"/>
                <w:szCs w:val="20"/>
              </w:rPr>
              <w:t>(ТАК / НІ / Н.З.)</w:t>
            </w:r>
          </w:p>
        </w:tc>
      </w:tr>
      <w:tr w:rsidR="004111A3" w14:paraId="07FDF674" w14:textId="77777777">
        <w:trPr>
          <w:gridAfter w:val="1"/>
          <w:wAfter w:w="11" w:type="dxa"/>
        </w:trPr>
        <w:tc>
          <w:tcPr>
            <w:tcW w:w="1149" w:type="dxa"/>
            <w:shd w:val="clear" w:color="auto" w:fill="EBF1DD"/>
          </w:tcPr>
          <w:p w14:paraId="5E2A882C" w14:textId="77777777" w:rsidR="004111A3" w:rsidRDefault="00A909B0">
            <w:pPr>
              <w:spacing w:before="120" w:after="120"/>
              <w:jc w:val="center"/>
              <w:rPr>
                <w:b/>
                <w:color w:val="000000"/>
                <w:sz w:val="20"/>
                <w:szCs w:val="20"/>
              </w:rPr>
            </w:pPr>
            <w:r>
              <w:rPr>
                <w:b/>
                <w:color w:val="000000"/>
                <w:sz w:val="20"/>
                <w:szCs w:val="20"/>
              </w:rPr>
              <w:t>Стаття 6.2.C.2</w:t>
            </w:r>
          </w:p>
        </w:tc>
        <w:tc>
          <w:tcPr>
            <w:tcW w:w="1134" w:type="dxa"/>
            <w:shd w:val="clear" w:color="auto" w:fill="EBF1DD"/>
          </w:tcPr>
          <w:p w14:paraId="20B6DF5F" w14:textId="77777777" w:rsidR="004111A3" w:rsidRDefault="00A909B0">
            <w:pPr>
              <w:spacing w:before="240" w:after="240"/>
              <w:jc w:val="center"/>
              <w:rPr>
                <w:b/>
                <w:color w:val="000000"/>
                <w:sz w:val="20"/>
                <w:szCs w:val="20"/>
              </w:rPr>
            </w:pPr>
            <w:r>
              <w:rPr>
                <w:b/>
                <w:color w:val="000000"/>
                <w:sz w:val="20"/>
                <w:szCs w:val="20"/>
              </w:rPr>
              <w:t>C.2</w:t>
            </w:r>
          </w:p>
        </w:tc>
        <w:tc>
          <w:tcPr>
            <w:tcW w:w="12682" w:type="dxa"/>
            <w:gridSpan w:val="6"/>
            <w:shd w:val="clear" w:color="auto" w:fill="EBF1DD"/>
            <w:tcMar>
              <w:top w:w="0" w:type="dxa"/>
              <w:left w:w="108" w:type="dxa"/>
              <w:bottom w:w="0" w:type="dxa"/>
              <w:right w:w="108" w:type="dxa"/>
            </w:tcMar>
          </w:tcPr>
          <w:p w14:paraId="22A3FBC2" w14:textId="77777777" w:rsidR="004111A3" w:rsidRDefault="00A909B0">
            <w:pPr>
              <w:spacing w:before="240" w:after="240"/>
              <w:jc w:val="left"/>
              <w:rPr>
                <w:b/>
                <w:color w:val="000000"/>
                <w:sz w:val="20"/>
                <w:szCs w:val="20"/>
              </w:rPr>
            </w:pPr>
            <w:r>
              <w:rPr>
                <w:b/>
                <w:color w:val="000000"/>
                <w:sz w:val="20"/>
                <w:szCs w:val="20"/>
              </w:rPr>
              <w:t>ВИТРАТИ НА ОБЛАДНАННЯ</w:t>
            </w:r>
          </w:p>
        </w:tc>
      </w:tr>
      <w:tr w:rsidR="004111A3" w14:paraId="39DC7DC6" w14:textId="77777777">
        <w:trPr>
          <w:gridAfter w:val="1"/>
          <w:wAfter w:w="11" w:type="dxa"/>
        </w:trPr>
        <w:tc>
          <w:tcPr>
            <w:tcW w:w="1149" w:type="dxa"/>
            <w:vMerge w:val="restart"/>
          </w:tcPr>
          <w:p w14:paraId="34E483BA" w14:textId="77777777" w:rsidR="004111A3" w:rsidRDefault="00A909B0">
            <w:pPr>
              <w:spacing w:before="120" w:after="120"/>
              <w:jc w:val="center"/>
              <w:rPr>
                <w:b/>
                <w:color w:val="000000"/>
                <w:sz w:val="20"/>
                <w:szCs w:val="20"/>
              </w:rPr>
            </w:pPr>
            <w:r>
              <w:rPr>
                <w:b/>
                <w:color w:val="000000"/>
                <w:sz w:val="20"/>
                <w:szCs w:val="20"/>
              </w:rPr>
              <w:t>Стаття 6.2.C.2</w:t>
            </w:r>
          </w:p>
        </w:tc>
        <w:tc>
          <w:tcPr>
            <w:tcW w:w="1134" w:type="dxa"/>
          </w:tcPr>
          <w:p w14:paraId="3D9E4A44" w14:textId="77777777" w:rsidR="004111A3" w:rsidRDefault="00A909B0">
            <w:pPr>
              <w:spacing w:before="120" w:after="120"/>
              <w:jc w:val="center"/>
              <w:rPr>
                <w:b/>
                <w:color w:val="000000"/>
                <w:sz w:val="20"/>
                <w:szCs w:val="20"/>
              </w:rPr>
            </w:pPr>
            <w:r>
              <w:rPr>
                <w:b/>
                <w:color w:val="000000"/>
                <w:sz w:val="20"/>
                <w:szCs w:val="20"/>
              </w:rPr>
              <w:t xml:space="preserve">C.2 </w:t>
            </w:r>
          </w:p>
          <w:p w14:paraId="7C93E86B" w14:textId="77777777" w:rsidR="004111A3" w:rsidRDefault="00A909B0">
            <w:pPr>
              <w:spacing w:before="120" w:after="120"/>
              <w:jc w:val="center"/>
              <w:rPr>
                <w:b/>
                <w:color w:val="000000"/>
                <w:sz w:val="20"/>
                <w:szCs w:val="20"/>
              </w:rPr>
            </w:pPr>
            <w:r>
              <w:rPr>
                <w:b/>
                <w:color w:val="000000"/>
                <w:sz w:val="20"/>
                <w:szCs w:val="20"/>
              </w:rPr>
              <w:t>ОБЛАДНАННЯ</w:t>
            </w:r>
          </w:p>
        </w:tc>
        <w:tc>
          <w:tcPr>
            <w:tcW w:w="6303" w:type="dxa"/>
            <w:gridSpan w:val="2"/>
            <w:shd w:val="clear" w:color="auto" w:fill="auto"/>
            <w:tcMar>
              <w:top w:w="0" w:type="dxa"/>
              <w:left w:w="108" w:type="dxa"/>
              <w:bottom w:w="0" w:type="dxa"/>
              <w:right w:w="108" w:type="dxa"/>
            </w:tcMar>
          </w:tcPr>
          <w:p w14:paraId="51484948" w14:textId="77777777" w:rsidR="004111A3" w:rsidRDefault="00A909B0">
            <w:pPr>
              <w:spacing w:before="120" w:after="120"/>
              <w:jc w:val="left"/>
              <w:rPr>
                <w:b/>
                <w:i/>
                <w:color w:val="000000"/>
                <w:sz w:val="20"/>
                <w:szCs w:val="20"/>
              </w:rPr>
            </w:pPr>
            <w:r>
              <w:rPr>
                <w:b/>
                <w:i/>
                <w:color w:val="000000"/>
                <w:sz w:val="20"/>
                <w:szCs w:val="20"/>
              </w:rPr>
              <w:t>Спеціаліст формує вибірку для проведення процедур за цією категорією витрат. Вибірка повинна бути відібрана випадковим чином. Вона повинна охоплювати 10% всіх позицій, за якими були задекларовані витрати, з мінімальною вибіркою в 10 позицій (або всі, якщо було задекларовано менше 10 позицій).</w:t>
            </w:r>
          </w:p>
          <w:p w14:paraId="5D302519" w14:textId="77777777" w:rsidR="004111A3" w:rsidRDefault="00A909B0">
            <w:pPr>
              <w:spacing w:before="120" w:after="120"/>
              <w:jc w:val="left"/>
              <w:rPr>
                <w:b/>
                <w:color w:val="000000"/>
                <w:sz w:val="20"/>
                <w:szCs w:val="20"/>
              </w:rPr>
            </w:pPr>
            <w:r>
              <w:rPr>
                <w:color w:val="000000"/>
                <w:sz w:val="20"/>
                <w:szCs w:val="20"/>
              </w:rPr>
              <w:t xml:space="preserve">Фахівець зробив вибірку </w:t>
            </w:r>
            <w:r>
              <w:rPr>
                <w:color w:val="000000"/>
                <w:sz w:val="20"/>
                <w:szCs w:val="20"/>
                <w:highlight w:val="lightGray"/>
              </w:rPr>
              <w:t>_____</w:t>
            </w:r>
            <w:r>
              <w:rPr>
                <w:color w:val="000000"/>
                <w:sz w:val="20"/>
                <w:szCs w:val="20"/>
              </w:rPr>
              <w:t xml:space="preserve">  із загальної кількості </w:t>
            </w:r>
            <w:r>
              <w:rPr>
                <w:color w:val="000000"/>
                <w:sz w:val="20"/>
                <w:szCs w:val="20"/>
                <w:highlight w:val="lightGray"/>
              </w:rPr>
              <w:t>_____</w:t>
            </w:r>
            <w:r>
              <w:rPr>
                <w:color w:val="000000"/>
                <w:sz w:val="20"/>
                <w:szCs w:val="20"/>
              </w:rPr>
              <w:t>.</w:t>
            </w:r>
          </w:p>
        </w:tc>
        <w:tc>
          <w:tcPr>
            <w:tcW w:w="6379" w:type="dxa"/>
            <w:gridSpan w:val="4"/>
            <w:shd w:val="clear" w:color="auto" w:fill="F2F2F2"/>
            <w:tcMar>
              <w:top w:w="0" w:type="dxa"/>
              <w:left w:w="108" w:type="dxa"/>
              <w:bottom w:w="0" w:type="dxa"/>
              <w:right w:w="108" w:type="dxa"/>
            </w:tcMar>
          </w:tcPr>
          <w:p w14:paraId="1B0C1709" w14:textId="77777777" w:rsidR="004111A3" w:rsidRDefault="004111A3">
            <w:pPr>
              <w:spacing w:before="120" w:after="120"/>
              <w:rPr>
                <w:color w:val="000000"/>
                <w:sz w:val="20"/>
                <w:szCs w:val="20"/>
                <w:highlight w:val="yellow"/>
              </w:rPr>
            </w:pPr>
          </w:p>
        </w:tc>
      </w:tr>
      <w:tr w:rsidR="004111A3" w14:paraId="7A8CBA24" w14:textId="77777777">
        <w:trPr>
          <w:gridAfter w:val="1"/>
          <w:wAfter w:w="11" w:type="dxa"/>
        </w:trPr>
        <w:tc>
          <w:tcPr>
            <w:tcW w:w="1149" w:type="dxa"/>
            <w:vMerge/>
          </w:tcPr>
          <w:p w14:paraId="5AD1F609"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34" w:type="dxa"/>
            <w:vMerge w:val="restart"/>
          </w:tcPr>
          <w:p w14:paraId="43D8A0B2" w14:textId="77777777" w:rsidR="004111A3" w:rsidRDefault="00A909B0">
            <w:pPr>
              <w:spacing w:before="120" w:after="120"/>
              <w:jc w:val="center"/>
              <w:rPr>
                <w:b/>
                <w:color w:val="000000"/>
                <w:sz w:val="20"/>
                <w:szCs w:val="20"/>
              </w:rPr>
            </w:pPr>
            <w:r>
              <w:rPr>
                <w:b/>
                <w:color w:val="000000"/>
                <w:sz w:val="20"/>
                <w:szCs w:val="20"/>
              </w:rPr>
              <w:t>C.2 Якщо тільки амортизація:</w:t>
            </w:r>
          </w:p>
          <w:p w14:paraId="689995F1" w14:textId="77777777" w:rsidR="004111A3" w:rsidRDefault="00A909B0">
            <w:pPr>
              <w:spacing w:before="120" w:after="120"/>
              <w:jc w:val="center"/>
              <w:rPr>
                <w:color w:val="7030A0"/>
                <w:sz w:val="20"/>
                <w:szCs w:val="20"/>
              </w:rPr>
            </w:pPr>
            <w:r>
              <w:rPr>
                <w:color w:val="7030A0"/>
                <w:sz w:val="20"/>
                <w:szCs w:val="20"/>
              </w:rPr>
              <w:t>(опція за замовчуванням для більшості програм)</w:t>
            </w:r>
          </w:p>
          <w:p w14:paraId="671A311D" w14:textId="77777777" w:rsidR="004111A3" w:rsidRDefault="004111A3">
            <w:pPr>
              <w:spacing w:before="120" w:after="120"/>
              <w:jc w:val="center"/>
              <w:rPr>
                <w:b/>
                <w:color w:val="000000"/>
                <w:sz w:val="20"/>
                <w:szCs w:val="20"/>
              </w:rPr>
            </w:pPr>
          </w:p>
        </w:tc>
        <w:tc>
          <w:tcPr>
            <w:tcW w:w="6303" w:type="dxa"/>
            <w:gridSpan w:val="2"/>
            <w:vMerge w:val="restart"/>
            <w:shd w:val="clear" w:color="auto" w:fill="auto"/>
            <w:tcMar>
              <w:top w:w="0" w:type="dxa"/>
              <w:left w:w="108" w:type="dxa"/>
              <w:bottom w:w="0" w:type="dxa"/>
              <w:right w:w="108" w:type="dxa"/>
            </w:tcMar>
          </w:tcPr>
          <w:p w14:paraId="72DB1B52" w14:textId="77777777" w:rsidR="004111A3" w:rsidRDefault="00A909B0">
            <w:pPr>
              <w:spacing w:before="120" w:after="120"/>
              <w:jc w:val="left"/>
              <w:rPr>
                <w:b/>
                <w:i/>
                <w:color w:val="000000"/>
                <w:sz w:val="20"/>
                <w:szCs w:val="20"/>
              </w:rPr>
            </w:pPr>
            <w:r>
              <w:rPr>
                <w:b/>
                <w:i/>
                <w:color w:val="000000"/>
                <w:sz w:val="20"/>
                <w:szCs w:val="20"/>
              </w:rPr>
              <w:t>Для обладнання, що увійшло до вибірки:</w:t>
            </w:r>
          </w:p>
          <w:p w14:paraId="5AB4074F" w14:textId="77777777" w:rsidR="004111A3" w:rsidRDefault="00A909B0">
            <w:pPr>
              <w:spacing w:before="120" w:after="120"/>
              <w:jc w:val="left"/>
              <w:rPr>
                <w:color w:val="000000"/>
                <w:sz w:val="20"/>
                <w:szCs w:val="20"/>
              </w:rPr>
            </w:pPr>
            <w:r>
              <w:rPr>
                <w:color w:val="000000"/>
                <w:sz w:val="20"/>
                <w:szCs w:val="20"/>
              </w:rPr>
              <w:t>Фахівець здійснив загальну перевірку прийнятності та неприйнятності витрат (див. вище).</w:t>
            </w:r>
          </w:p>
          <w:p w14:paraId="4789388A" w14:textId="77777777" w:rsidR="004111A3" w:rsidRDefault="00A909B0">
            <w:pPr>
              <w:spacing w:before="120" w:after="120"/>
              <w:jc w:val="left"/>
              <w:rPr>
                <w:color w:val="000000"/>
                <w:sz w:val="20"/>
                <w:szCs w:val="20"/>
              </w:rPr>
            </w:pPr>
            <w:r>
              <w:rPr>
                <w:color w:val="000000"/>
                <w:sz w:val="20"/>
                <w:szCs w:val="20"/>
              </w:rPr>
              <w:t>Фахівець здійснив загальну перевірку прийнятності витрат на закупівлю (див. вище).</w:t>
            </w:r>
          </w:p>
          <w:p w14:paraId="764AF3FA" w14:textId="77777777" w:rsidR="004111A3" w:rsidRDefault="00A909B0">
            <w:pPr>
              <w:spacing w:before="120" w:after="120"/>
              <w:jc w:val="left"/>
              <w:rPr>
                <w:color w:val="000000"/>
                <w:sz w:val="20"/>
                <w:szCs w:val="20"/>
              </w:rPr>
            </w:pPr>
            <w:r>
              <w:rPr>
                <w:color w:val="000000"/>
                <w:sz w:val="20"/>
                <w:szCs w:val="20"/>
              </w:rPr>
              <w:t xml:space="preserve">Для підтвердження стандартних висновків, наведених у наступній колонці, щодо </w:t>
            </w:r>
            <w:proofErr w:type="spellStart"/>
            <w:r>
              <w:rPr>
                <w:color w:val="000000"/>
                <w:sz w:val="20"/>
                <w:szCs w:val="20"/>
              </w:rPr>
              <w:t>закупівель</w:t>
            </w:r>
            <w:proofErr w:type="spellEnd"/>
            <w:r>
              <w:rPr>
                <w:color w:val="000000"/>
                <w:sz w:val="20"/>
                <w:szCs w:val="20"/>
              </w:rPr>
              <w:t xml:space="preserve"> обладнання, інфраструктури або інших активів, які використовуються для реалізації заходу ("обладнання"), фахівець перевірив що:</w:t>
            </w:r>
          </w:p>
          <w:p w14:paraId="347EA29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вони були введені в систему бухгалтерського обліку та списані відповідно до звичайної бухгалтерської практики учасника та міжнародних стандартів бухгалтерського обліку; вони були правильно віднесені до акції (з підтверджуючими документами, такими як накладна або будь-яким іншим доказом, що демонструє зв'язок з діяльністю)</w:t>
            </w:r>
          </w:p>
          <w:p w14:paraId="7930AD42"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ступінь використання обладнання для здійснення діяльності (у відсотках) був підтверджений достовірною документацією (наприклад, оглядовою таблицею використання)</w:t>
            </w:r>
          </w:p>
          <w:p w14:paraId="5B73A979"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lastRenderedPageBreak/>
              <w:t>враховано будь-які скорочення витрат (знижки, дисконти)</w:t>
            </w:r>
          </w:p>
          <w:p w14:paraId="7F396164"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підтвердили наявність обладнання та переконалися, що це саме те обладнання, яке закуповується</w:t>
            </w:r>
          </w:p>
          <w:p w14:paraId="575A42BF"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якщо дію було призупинено, то протягом періоду призупинення амортизаційні витрати не нараховувалися.</w:t>
            </w:r>
          </w:p>
          <w:p w14:paraId="3CBF7852" w14:textId="77777777" w:rsidR="004111A3" w:rsidRDefault="00A909B0">
            <w:pPr>
              <w:spacing w:before="120" w:after="120"/>
              <w:jc w:val="left"/>
              <w:rPr>
                <w:color w:val="000000"/>
                <w:sz w:val="20"/>
                <w:szCs w:val="20"/>
              </w:rPr>
            </w:pPr>
            <w:r>
              <w:rPr>
                <w:color w:val="000000"/>
                <w:sz w:val="20"/>
                <w:szCs w:val="20"/>
              </w:rPr>
              <w:t>Закупівлі між учасниками в принципі не приймаються, за винятком виняткових і належним чином обґрунтованих випадків (наприклад, учасник А є звичайним постачальником учасника Б для типових витратних матеріалів, які потрібні учаснику Б для виконання дій). Якщо учасник потребує витратних матеріалів від іншого учасника, саме останній учасник повинен віднести їх до витрат проекту.</w:t>
            </w:r>
          </w:p>
          <w:p w14:paraId="1877C0F3" w14:textId="77777777" w:rsidR="004111A3" w:rsidRDefault="00A909B0">
            <w:pPr>
              <w:spacing w:before="120" w:after="120"/>
              <w:jc w:val="left"/>
              <w:rPr>
                <w:color w:val="000000"/>
                <w:sz w:val="20"/>
                <w:szCs w:val="20"/>
              </w:rPr>
            </w:pPr>
            <w:r>
              <w:rPr>
                <w:color w:val="000000"/>
                <w:sz w:val="20"/>
                <w:szCs w:val="20"/>
              </w:rPr>
              <w:t>Фахівець здійснив перерахунок амортизаційних відрахувань і підтвердив що:</w:t>
            </w:r>
          </w:p>
          <w:p w14:paraId="4531F7FA" w14:textId="77777777" w:rsidR="004111A3" w:rsidRDefault="00A909B0">
            <w:pPr>
              <w:numPr>
                <w:ilvl w:val="0"/>
                <w:numId w:val="4"/>
              </w:numPr>
              <w:pBdr>
                <w:top w:val="nil"/>
                <w:left w:val="nil"/>
                <w:bottom w:val="nil"/>
                <w:right w:val="nil"/>
                <w:between w:val="nil"/>
              </w:pBdr>
              <w:spacing w:before="120" w:after="120"/>
              <w:jc w:val="left"/>
              <w:rPr>
                <w:color w:val="000000"/>
                <w:sz w:val="20"/>
                <w:szCs w:val="20"/>
              </w:rPr>
            </w:pPr>
            <w:r>
              <w:rPr>
                <w:color w:val="000000"/>
                <w:sz w:val="20"/>
                <w:szCs w:val="20"/>
              </w:rPr>
              <w:t>амортизація нараховується на вартість придбання</w:t>
            </w:r>
          </w:p>
          <w:p w14:paraId="29031986" w14:textId="77777777" w:rsidR="004111A3" w:rsidRDefault="00A909B0">
            <w:pPr>
              <w:numPr>
                <w:ilvl w:val="0"/>
                <w:numId w:val="4"/>
              </w:numPr>
              <w:pBdr>
                <w:top w:val="nil"/>
                <w:left w:val="nil"/>
                <w:bottom w:val="nil"/>
                <w:right w:val="nil"/>
                <w:between w:val="nil"/>
              </w:pBdr>
              <w:spacing w:before="120" w:after="120"/>
              <w:jc w:val="left"/>
              <w:rPr>
                <w:color w:val="000000"/>
                <w:sz w:val="20"/>
                <w:szCs w:val="20"/>
              </w:rPr>
            </w:pPr>
            <w:r>
              <w:rPr>
                <w:color w:val="000000"/>
                <w:sz w:val="20"/>
                <w:szCs w:val="20"/>
              </w:rPr>
              <w:t>амортизаційні витрати накопичувалися протягом строку дії</w:t>
            </w:r>
          </w:p>
          <w:p w14:paraId="76F6EC23" w14:textId="77777777" w:rsidR="004111A3" w:rsidRDefault="00A909B0">
            <w:pPr>
              <w:numPr>
                <w:ilvl w:val="0"/>
                <w:numId w:val="4"/>
              </w:numPr>
              <w:pBdr>
                <w:top w:val="nil"/>
                <w:left w:val="nil"/>
                <w:bottom w:val="nil"/>
                <w:right w:val="nil"/>
                <w:between w:val="nil"/>
              </w:pBdr>
              <w:spacing w:before="120" w:after="120"/>
              <w:jc w:val="left"/>
              <w:rPr>
                <w:color w:val="000000"/>
                <w:sz w:val="20"/>
                <w:szCs w:val="20"/>
              </w:rPr>
            </w:pPr>
            <w:r>
              <w:rPr>
                <w:color w:val="000000"/>
                <w:sz w:val="20"/>
                <w:szCs w:val="20"/>
              </w:rPr>
              <w:t>амортизаційні витрати були розраховані для кожного звітного періоду</w:t>
            </w:r>
          </w:p>
          <w:p w14:paraId="79CDFF5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відповідно до норми використання для проекту (якщо учасник не використовує обладнання виключно для виконання дії, може бути оплачена лише та частина, яка була використана для виконання дії)</w:t>
            </w:r>
          </w:p>
          <w:p w14:paraId="6EC9738F"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учасник не нараховував амортизацію з дати, що передує даті отримання обладнання. Прийнятна амортизація обладнання починається з моменту, коли воно стає доступним для використання в рамках діяльності</w:t>
            </w:r>
          </w:p>
          <w:p w14:paraId="416335C0"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амортизаційні витрати не перевищують ціну придбання обладнання. Вартість обладнання, яка амортизується (ціна придбання), повинна розподілятися на систематичній основі протягом строку його корисного використання (тобто періоду, </w:t>
            </w:r>
            <w:r>
              <w:rPr>
                <w:color w:val="000000"/>
                <w:sz w:val="20"/>
                <w:szCs w:val="20"/>
              </w:rPr>
              <w:lastRenderedPageBreak/>
              <w:t>протягом якого очікується, що обладнання буде придатним для використання). Якщо строк корисного використання обладнання перевищує один рік, учасник не може списати повну вартість об'єкта за один рік, за винятком випадків, коли це прямо передбачено Грантовою угодою.</w:t>
            </w:r>
          </w:p>
          <w:p w14:paraId="1611E9E2" w14:textId="77777777" w:rsidR="004111A3" w:rsidRDefault="00A909B0">
            <w:pPr>
              <w:spacing w:before="120" w:after="120"/>
              <w:jc w:val="left"/>
              <w:rPr>
                <w:color w:val="000000"/>
                <w:sz w:val="20"/>
                <w:szCs w:val="20"/>
              </w:rPr>
            </w:pPr>
            <w:r>
              <w:rPr>
                <w:color w:val="000000"/>
                <w:sz w:val="20"/>
                <w:szCs w:val="20"/>
              </w:rPr>
              <w:t>Окрім амортизаційних витрат, витрати на оренду або лізинг обладнання, інфраструктури чи інших активів також можуть бути віднесені до витрат на обладнання, якщо вони не перевищують амортизаційні витрати на аналогічне обладнання, інфраструктуру чи активи і не включають жодних комісійних за фінансування.  Якщо обладнання не було придбане, а орендоване або взяте в лізинг, фахівець повинен також перевірити ці витрати:</w:t>
            </w:r>
          </w:p>
          <w:p w14:paraId="4846427E"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не перевищують амортизаційні витрати на аналогічне обладнання, інфраструктуру або активи</w:t>
            </w:r>
          </w:p>
          <w:p w14:paraId="4A71A8E0" w14:textId="77777777" w:rsidR="004111A3" w:rsidRDefault="00A909B0">
            <w:pPr>
              <w:numPr>
                <w:ilvl w:val="0"/>
                <w:numId w:val="2"/>
              </w:numPr>
              <w:spacing w:before="120" w:after="120"/>
              <w:ind w:left="504" w:hanging="330"/>
              <w:jc w:val="left"/>
              <w:rPr>
                <w:color w:val="000000"/>
                <w:sz w:val="20"/>
                <w:szCs w:val="20"/>
              </w:rPr>
            </w:pPr>
            <w:r>
              <w:rPr>
                <w:i/>
                <w:color w:val="000000"/>
                <w:sz w:val="20"/>
                <w:szCs w:val="20"/>
              </w:rPr>
              <w:t>не включати будь-які фінансові збори (наприклад, фінансові збори, включені в платежі за фінансовим лізингом, або відсотки за кредитами, взятими для фінансування покупки)</w:t>
            </w:r>
          </w:p>
          <w:p w14:paraId="05686FB2" w14:textId="77777777" w:rsidR="004111A3" w:rsidRDefault="00A909B0">
            <w:pPr>
              <w:numPr>
                <w:ilvl w:val="0"/>
                <w:numId w:val="2"/>
              </w:numPr>
              <w:spacing w:before="120" w:after="120"/>
              <w:ind w:left="504" w:hanging="330"/>
              <w:jc w:val="left"/>
              <w:rPr>
                <w:sz w:val="20"/>
                <w:szCs w:val="20"/>
              </w:rPr>
            </w:pPr>
            <w:r>
              <w:rPr>
                <w:color w:val="000000"/>
                <w:sz w:val="20"/>
                <w:szCs w:val="20"/>
              </w:rPr>
              <w:t>відсутнє подвійне нарахування витрат (наприклад, не нараховується амортизація на обладнання, яке раніше було повністю профінансоване за рахунок гранту ЄС).</w:t>
            </w:r>
          </w:p>
        </w:tc>
        <w:tc>
          <w:tcPr>
            <w:tcW w:w="4961" w:type="dxa"/>
            <w:gridSpan w:val="2"/>
            <w:shd w:val="clear" w:color="auto" w:fill="auto"/>
            <w:tcMar>
              <w:top w:w="0" w:type="dxa"/>
              <w:left w:w="108" w:type="dxa"/>
              <w:bottom w:w="0" w:type="dxa"/>
              <w:right w:w="108" w:type="dxa"/>
            </w:tcMar>
          </w:tcPr>
          <w:p w14:paraId="1291BCBC"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lastRenderedPageBreak/>
              <w:t>Витрати були прийнятними (без неприйнятних компонентів), ідентифікованими та перевіреними, пов'язаними з проектом та понесеними учасником (підтвердження оплати, відсутність повторного виставлення рахунків іншим організаціям) протягом періоду дії проекту відповідно до його звичайної практики обліку витрат.</w:t>
            </w:r>
          </w:p>
        </w:tc>
        <w:tc>
          <w:tcPr>
            <w:tcW w:w="1418" w:type="dxa"/>
            <w:gridSpan w:val="2"/>
            <w:shd w:val="clear" w:color="auto" w:fill="auto"/>
            <w:tcMar>
              <w:top w:w="0" w:type="dxa"/>
              <w:left w:w="108" w:type="dxa"/>
              <w:bottom w:w="0" w:type="dxa"/>
              <w:right w:w="108" w:type="dxa"/>
            </w:tcMar>
          </w:tcPr>
          <w:p w14:paraId="7C022D31"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2BD0CE77" w14:textId="77777777">
        <w:trPr>
          <w:gridAfter w:val="1"/>
          <w:wAfter w:w="11" w:type="dxa"/>
        </w:trPr>
        <w:tc>
          <w:tcPr>
            <w:tcW w:w="1149" w:type="dxa"/>
            <w:vMerge/>
          </w:tcPr>
          <w:p w14:paraId="03CDF55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0F499A4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15AFFB1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1B4194A1"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 xml:space="preserve">Закупівлі здійснювалися із застосуванням звичайної практики </w:t>
            </w:r>
            <w:proofErr w:type="spellStart"/>
            <w:r>
              <w:rPr>
                <w:color w:val="000000"/>
                <w:sz w:val="20"/>
                <w:szCs w:val="20"/>
              </w:rPr>
              <w:t>закупівель</w:t>
            </w:r>
            <w:proofErr w:type="spellEnd"/>
            <w:r>
              <w:rPr>
                <w:color w:val="000000"/>
                <w:sz w:val="20"/>
                <w:szCs w:val="20"/>
              </w:rPr>
              <w:t xml:space="preserve"> учасника та, за необхідності, інших документів/процедур, необхідних для дотримання національного законодавства у сфері публічних </w:t>
            </w:r>
            <w:proofErr w:type="spellStart"/>
            <w:r>
              <w:rPr>
                <w:color w:val="000000"/>
                <w:sz w:val="20"/>
                <w:szCs w:val="20"/>
              </w:rPr>
              <w:t>закупівель</w:t>
            </w:r>
            <w:proofErr w:type="spellEnd"/>
            <w:r>
              <w:rPr>
                <w:color w:val="000000"/>
                <w:sz w:val="20"/>
                <w:szCs w:val="20"/>
              </w:rPr>
              <w:t>.</w:t>
            </w:r>
          </w:p>
        </w:tc>
        <w:tc>
          <w:tcPr>
            <w:tcW w:w="1418" w:type="dxa"/>
            <w:gridSpan w:val="2"/>
            <w:shd w:val="clear" w:color="auto" w:fill="auto"/>
            <w:tcMar>
              <w:top w:w="0" w:type="dxa"/>
              <w:left w:w="108" w:type="dxa"/>
              <w:bottom w:w="0" w:type="dxa"/>
              <w:right w:w="108" w:type="dxa"/>
            </w:tcMar>
          </w:tcPr>
          <w:p w14:paraId="3DEF9917"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4EE7FF83" w14:textId="77777777">
        <w:trPr>
          <w:gridAfter w:val="1"/>
          <w:wAfter w:w="11" w:type="dxa"/>
        </w:trPr>
        <w:tc>
          <w:tcPr>
            <w:tcW w:w="1149" w:type="dxa"/>
            <w:vMerge/>
          </w:tcPr>
          <w:p w14:paraId="048D6D2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40A1DE7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1CE05EE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66A4F444"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Активи були придбані за принципом найкращого співвідношення ціни та якості або за найнижчою ціною.</w:t>
            </w:r>
          </w:p>
        </w:tc>
        <w:tc>
          <w:tcPr>
            <w:tcW w:w="1418" w:type="dxa"/>
            <w:gridSpan w:val="2"/>
            <w:shd w:val="clear" w:color="auto" w:fill="auto"/>
            <w:tcMar>
              <w:top w:w="0" w:type="dxa"/>
              <w:left w:w="108" w:type="dxa"/>
              <w:bottom w:w="0" w:type="dxa"/>
              <w:right w:w="108" w:type="dxa"/>
            </w:tcMar>
          </w:tcPr>
          <w:p w14:paraId="613BD1AF"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4AEA30BE" w14:textId="77777777">
        <w:trPr>
          <w:gridAfter w:val="1"/>
          <w:wAfter w:w="11" w:type="dxa"/>
        </w:trPr>
        <w:tc>
          <w:tcPr>
            <w:tcW w:w="1149" w:type="dxa"/>
            <w:vMerge/>
          </w:tcPr>
          <w:p w14:paraId="354235B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48142B6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48D24B3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469D32CF"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 xml:space="preserve">Учасник застосував процедури для забезпечення відсутності конфлікту інтересів, і за результатами нашої перевірки ми не виявили нічого, що могло б свідчити про потенційний конфлікт інтересів. </w:t>
            </w:r>
            <w:r>
              <w:rPr>
                <w:color w:val="000000"/>
                <w:sz w:val="20"/>
                <w:szCs w:val="20"/>
              </w:rPr>
              <w:lastRenderedPageBreak/>
              <w:t>Учасник надав необхідне письмове підтвердження.</w:t>
            </w:r>
          </w:p>
        </w:tc>
        <w:tc>
          <w:tcPr>
            <w:tcW w:w="1418" w:type="dxa"/>
            <w:gridSpan w:val="2"/>
            <w:shd w:val="clear" w:color="auto" w:fill="auto"/>
            <w:tcMar>
              <w:top w:w="0" w:type="dxa"/>
              <w:left w:w="108" w:type="dxa"/>
              <w:bottom w:w="0" w:type="dxa"/>
              <w:right w:w="108" w:type="dxa"/>
            </w:tcMar>
          </w:tcPr>
          <w:p w14:paraId="17B30C43" w14:textId="77777777" w:rsidR="004111A3" w:rsidRDefault="00A909B0">
            <w:pPr>
              <w:spacing w:before="120" w:after="120"/>
              <w:jc w:val="center"/>
              <w:rPr>
                <w:color w:val="000000"/>
                <w:sz w:val="20"/>
                <w:szCs w:val="20"/>
              </w:rPr>
            </w:pPr>
            <w:r>
              <w:rPr>
                <w:color w:val="000000"/>
                <w:sz w:val="20"/>
                <w:szCs w:val="20"/>
              </w:rPr>
              <w:lastRenderedPageBreak/>
              <w:t>ТАК / НІ / Н.З.</w:t>
            </w:r>
          </w:p>
        </w:tc>
      </w:tr>
      <w:tr w:rsidR="004111A3" w14:paraId="460C0CEB" w14:textId="77777777">
        <w:trPr>
          <w:gridAfter w:val="1"/>
          <w:wAfter w:w="11" w:type="dxa"/>
        </w:trPr>
        <w:tc>
          <w:tcPr>
            <w:tcW w:w="1149" w:type="dxa"/>
            <w:vMerge/>
          </w:tcPr>
          <w:p w14:paraId="155CD10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24CBB18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3565E2B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20B7E83E"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 xml:space="preserve">Існував зв'язок між грантовою угодою та обладнанням, яке було </w:t>
            </w:r>
            <w:proofErr w:type="spellStart"/>
            <w:r>
              <w:rPr>
                <w:color w:val="000000"/>
                <w:sz w:val="20"/>
                <w:szCs w:val="20"/>
              </w:rPr>
              <w:t>оплачено</w:t>
            </w:r>
            <w:proofErr w:type="spellEnd"/>
            <w:r>
              <w:rPr>
                <w:color w:val="000000"/>
                <w:sz w:val="20"/>
                <w:szCs w:val="20"/>
              </w:rPr>
              <w:t xml:space="preserve"> в рамках проекту.</w:t>
            </w:r>
          </w:p>
        </w:tc>
        <w:tc>
          <w:tcPr>
            <w:tcW w:w="1418" w:type="dxa"/>
            <w:gridSpan w:val="2"/>
            <w:shd w:val="clear" w:color="auto" w:fill="auto"/>
            <w:tcMar>
              <w:top w:w="0" w:type="dxa"/>
              <w:left w:w="108" w:type="dxa"/>
              <w:bottom w:w="0" w:type="dxa"/>
              <w:right w:w="108" w:type="dxa"/>
            </w:tcMar>
          </w:tcPr>
          <w:p w14:paraId="4A5550DD"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4769DD41" w14:textId="77777777">
        <w:trPr>
          <w:gridAfter w:val="1"/>
          <w:wAfter w:w="11" w:type="dxa"/>
        </w:trPr>
        <w:tc>
          <w:tcPr>
            <w:tcW w:w="1149" w:type="dxa"/>
            <w:vMerge/>
          </w:tcPr>
          <w:p w14:paraId="57587D0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78C1070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2036713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63A1A870"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Обладнання, яке було задіяне в рамках проекту, було фізично перевірено та відстежено відповідно до бухгалтерських записів та документів, що його супроводжували.</w:t>
            </w:r>
          </w:p>
        </w:tc>
        <w:tc>
          <w:tcPr>
            <w:tcW w:w="1418" w:type="dxa"/>
            <w:gridSpan w:val="2"/>
            <w:shd w:val="clear" w:color="auto" w:fill="auto"/>
            <w:tcMar>
              <w:top w:w="0" w:type="dxa"/>
              <w:left w:w="108" w:type="dxa"/>
              <w:bottom w:w="0" w:type="dxa"/>
              <w:right w:w="108" w:type="dxa"/>
            </w:tcMar>
          </w:tcPr>
          <w:p w14:paraId="4BC7B4A4"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0341D7E3" w14:textId="77777777">
        <w:trPr>
          <w:gridAfter w:val="1"/>
          <w:wAfter w:w="11" w:type="dxa"/>
        </w:trPr>
        <w:tc>
          <w:tcPr>
            <w:tcW w:w="1149" w:type="dxa"/>
            <w:vMerge/>
          </w:tcPr>
          <w:p w14:paraId="4359F31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6CD0539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0F246AB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031F4082" w14:textId="77777777" w:rsidR="004111A3" w:rsidRDefault="00A909B0">
            <w:pPr>
              <w:numPr>
                <w:ilvl w:val="0"/>
                <w:numId w:val="3"/>
              </w:numPr>
              <w:spacing w:before="120" w:after="120"/>
              <w:ind w:left="391" w:hanging="391"/>
              <w:jc w:val="left"/>
              <w:rPr>
                <w:color w:val="000000"/>
                <w:sz w:val="20"/>
                <w:szCs w:val="20"/>
              </w:rPr>
            </w:pPr>
            <w:r>
              <w:rPr>
                <w:sz w:val="20"/>
                <w:szCs w:val="20"/>
              </w:rPr>
              <w:t>Закупівлі не здійснювалися між учасниками (за винятком особливих випадків, викладених в AGA - Анотованій грантовій угоді, ст. 6.2.B та 6.2.C*</w:t>
            </w:r>
            <w:hyperlink r:id="rId17">
              <w:r>
                <w:rPr>
                  <w:color w:val="0088CC"/>
                  <w:sz w:val="20"/>
                  <w:szCs w:val="20"/>
                  <w:u w:val="single"/>
                </w:rPr>
                <w:t xml:space="preserve">AGA — </w:t>
              </w:r>
              <w:proofErr w:type="spellStart"/>
              <w:r>
                <w:rPr>
                  <w:color w:val="0088CC"/>
                  <w:sz w:val="20"/>
                  <w:szCs w:val="20"/>
                  <w:u w:val="single"/>
                </w:rPr>
                <w:t>Annotated</w:t>
              </w:r>
              <w:proofErr w:type="spellEnd"/>
              <w:r>
                <w:rPr>
                  <w:color w:val="0088CC"/>
                  <w:sz w:val="20"/>
                  <w:szCs w:val="20"/>
                  <w:u w:val="single"/>
                </w:rPr>
                <w:t xml:space="preserve"> </w:t>
              </w:r>
              <w:proofErr w:type="spellStart"/>
              <w:r>
                <w:rPr>
                  <w:color w:val="0088CC"/>
                  <w:sz w:val="20"/>
                  <w:szCs w:val="20"/>
                  <w:u w:val="single"/>
                </w:rPr>
                <w:t>Grant</w:t>
              </w:r>
              <w:proofErr w:type="spellEnd"/>
              <w:r>
                <w:rPr>
                  <w:color w:val="0088CC"/>
                  <w:sz w:val="20"/>
                  <w:szCs w:val="20"/>
                  <w:u w:val="single"/>
                </w:rPr>
                <w:t xml:space="preserve"> </w:t>
              </w:r>
              <w:proofErr w:type="spellStart"/>
              <w:r>
                <w:rPr>
                  <w:color w:val="0088CC"/>
                  <w:sz w:val="20"/>
                  <w:szCs w:val="20"/>
                  <w:u w:val="single"/>
                </w:rPr>
                <w:t>Agreement</w:t>
              </w:r>
              <w:proofErr w:type="spellEnd"/>
              <w:r>
                <w:rPr>
                  <w:color w:val="0088CC"/>
                  <w:sz w:val="20"/>
                  <w:szCs w:val="20"/>
                  <w:u w:val="single"/>
                </w:rPr>
                <w:t xml:space="preserve">, </w:t>
              </w:r>
              <w:proofErr w:type="spellStart"/>
              <w:r>
                <w:rPr>
                  <w:color w:val="0088CC"/>
                  <w:sz w:val="20"/>
                  <w:szCs w:val="20"/>
                  <w:u w:val="single"/>
                </w:rPr>
                <w:t>art</w:t>
              </w:r>
              <w:proofErr w:type="spellEnd"/>
              <w:r>
                <w:rPr>
                  <w:color w:val="0088CC"/>
                  <w:sz w:val="20"/>
                  <w:szCs w:val="20"/>
                  <w:u w:val="single"/>
                </w:rPr>
                <w:t xml:space="preserve"> 6.2.B </w:t>
              </w:r>
              <w:proofErr w:type="spellStart"/>
              <w:r>
                <w:rPr>
                  <w:color w:val="0088CC"/>
                  <w:sz w:val="20"/>
                  <w:szCs w:val="20"/>
                  <w:u w:val="single"/>
                </w:rPr>
                <w:t>and</w:t>
              </w:r>
              <w:proofErr w:type="spellEnd"/>
              <w:r>
                <w:rPr>
                  <w:color w:val="0088CC"/>
                  <w:sz w:val="20"/>
                  <w:szCs w:val="20"/>
                  <w:u w:val="single"/>
                </w:rPr>
                <w:t xml:space="preserve"> 6.2.C</w:t>
              </w:r>
            </w:hyperlink>
            <w:r>
              <w:rPr>
                <w:color w:val="808080"/>
                <w:sz w:val="20"/>
                <w:szCs w:val="20"/>
              </w:rPr>
              <w:t>*</w:t>
            </w:r>
            <w:r>
              <w:rPr>
                <w:color w:val="000000"/>
                <w:sz w:val="20"/>
                <w:szCs w:val="20"/>
              </w:rPr>
              <w:t>).</w:t>
            </w:r>
          </w:p>
        </w:tc>
        <w:tc>
          <w:tcPr>
            <w:tcW w:w="1418" w:type="dxa"/>
            <w:gridSpan w:val="2"/>
            <w:shd w:val="clear" w:color="auto" w:fill="auto"/>
            <w:tcMar>
              <w:top w:w="0" w:type="dxa"/>
              <w:left w:w="108" w:type="dxa"/>
              <w:bottom w:w="0" w:type="dxa"/>
              <w:right w:w="108" w:type="dxa"/>
            </w:tcMar>
          </w:tcPr>
          <w:p w14:paraId="60FA7405"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5D242E3D" w14:textId="77777777">
        <w:trPr>
          <w:gridAfter w:val="1"/>
          <w:wAfter w:w="11" w:type="dxa"/>
        </w:trPr>
        <w:tc>
          <w:tcPr>
            <w:tcW w:w="1149" w:type="dxa"/>
            <w:vMerge/>
          </w:tcPr>
          <w:p w14:paraId="1003D17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7D86BBC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34DFEA4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0D2BD68D"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Витрати на амортизацію були розраховані відповідно до застосовних стандартів аудиту та звичайної бухгалтерської практики учасника (як правило, не раніше дати отримання обладнання та його готовності до використання) для кожного звітного періоду.</w:t>
            </w:r>
          </w:p>
        </w:tc>
        <w:tc>
          <w:tcPr>
            <w:tcW w:w="1418" w:type="dxa"/>
            <w:gridSpan w:val="2"/>
            <w:shd w:val="clear" w:color="auto" w:fill="auto"/>
            <w:tcMar>
              <w:top w:w="0" w:type="dxa"/>
              <w:left w:w="108" w:type="dxa"/>
              <w:bottom w:w="0" w:type="dxa"/>
              <w:right w:w="108" w:type="dxa"/>
            </w:tcMar>
          </w:tcPr>
          <w:p w14:paraId="65D2A581"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4C5CDEA9" w14:textId="77777777">
        <w:trPr>
          <w:gridAfter w:val="1"/>
          <w:wAfter w:w="11" w:type="dxa"/>
        </w:trPr>
        <w:tc>
          <w:tcPr>
            <w:tcW w:w="1149" w:type="dxa"/>
            <w:vMerge/>
          </w:tcPr>
          <w:p w14:paraId="500EB4F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5F4193F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71D7417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69F6D23C"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Сума, що стягувалася, відповідала нормі фактичного використання для здійснення дії.</w:t>
            </w:r>
          </w:p>
        </w:tc>
        <w:tc>
          <w:tcPr>
            <w:tcW w:w="1418" w:type="dxa"/>
            <w:gridSpan w:val="2"/>
            <w:shd w:val="clear" w:color="auto" w:fill="auto"/>
            <w:tcMar>
              <w:top w:w="0" w:type="dxa"/>
              <w:left w:w="108" w:type="dxa"/>
              <w:bottom w:w="0" w:type="dxa"/>
              <w:right w:w="108" w:type="dxa"/>
            </w:tcMar>
          </w:tcPr>
          <w:p w14:paraId="3CEC3292"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6806E565" w14:textId="77777777">
        <w:trPr>
          <w:gridAfter w:val="1"/>
          <w:wAfter w:w="11" w:type="dxa"/>
        </w:trPr>
        <w:tc>
          <w:tcPr>
            <w:tcW w:w="1149" w:type="dxa"/>
            <w:vMerge/>
          </w:tcPr>
          <w:p w14:paraId="21D6C82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47C9099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06827B2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56BBDDC3" w14:textId="77777777" w:rsidR="004111A3" w:rsidRDefault="00A909B0">
            <w:pPr>
              <w:numPr>
                <w:ilvl w:val="0"/>
                <w:numId w:val="3"/>
              </w:numPr>
              <w:spacing w:before="120" w:after="120"/>
              <w:ind w:left="391" w:hanging="391"/>
              <w:jc w:val="left"/>
              <w:rPr>
                <w:color w:val="000000"/>
                <w:sz w:val="20"/>
                <w:szCs w:val="20"/>
              </w:rPr>
            </w:pPr>
            <w:r>
              <w:rPr>
                <w:sz w:val="20"/>
                <w:szCs w:val="20"/>
              </w:rPr>
              <w:t>Витрати на оренду або лізинг обладнання не перевищують амортизаційних витрат на аналогічне обладнання, не включають жодних комісій за фінансування та не мають подвійного нарахування витрат.</w:t>
            </w:r>
          </w:p>
        </w:tc>
        <w:tc>
          <w:tcPr>
            <w:tcW w:w="1418" w:type="dxa"/>
            <w:gridSpan w:val="2"/>
            <w:shd w:val="clear" w:color="auto" w:fill="auto"/>
            <w:tcMar>
              <w:top w:w="0" w:type="dxa"/>
              <w:left w:w="108" w:type="dxa"/>
              <w:bottom w:w="0" w:type="dxa"/>
              <w:right w:w="108" w:type="dxa"/>
            </w:tcMar>
          </w:tcPr>
          <w:p w14:paraId="00376413"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784292E9" w14:textId="77777777">
        <w:trPr>
          <w:gridAfter w:val="1"/>
          <w:wAfter w:w="11" w:type="dxa"/>
        </w:trPr>
        <w:tc>
          <w:tcPr>
            <w:tcW w:w="1149" w:type="dxa"/>
            <w:vMerge/>
          </w:tcPr>
          <w:p w14:paraId="6B9B523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40AF1B1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303" w:type="dxa"/>
            <w:gridSpan w:val="2"/>
            <w:vMerge/>
            <w:shd w:val="clear" w:color="auto" w:fill="auto"/>
            <w:tcMar>
              <w:top w:w="0" w:type="dxa"/>
              <w:left w:w="108" w:type="dxa"/>
              <w:bottom w:w="0" w:type="dxa"/>
              <w:right w:w="108" w:type="dxa"/>
            </w:tcMar>
          </w:tcPr>
          <w:p w14:paraId="18AF4A4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17C04D9F" w14:textId="77777777" w:rsidR="004111A3" w:rsidRDefault="004111A3">
            <w:pPr>
              <w:spacing w:before="120" w:after="120"/>
              <w:jc w:val="left"/>
              <w:rPr>
                <w:color w:val="000000"/>
                <w:sz w:val="20"/>
                <w:szCs w:val="20"/>
              </w:rPr>
            </w:pPr>
          </w:p>
        </w:tc>
        <w:tc>
          <w:tcPr>
            <w:tcW w:w="1418" w:type="dxa"/>
            <w:gridSpan w:val="2"/>
            <w:shd w:val="clear" w:color="auto" w:fill="auto"/>
            <w:tcMar>
              <w:top w:w="0" w:type="dxa"/>
              <w:left w:w="108" w:type="dxa"/>
              <w:bottom w:w="0" w:type="dxa"/>
              <w:right w:w="108" w:type="dxa"/>
            </w:tcMar>
          </w:tcPr>
          <w:p w14:paraId="476E9478" w14:textId="77777777" w:rsidR="004111A3" w:rsidRDefault="004111A3">
            <w:pPr>
              <w:spacing w:before="120" w:after="120"/>
              <w:rPr>
                <w:color w:val="000000"/>
                <w:sz w:val="20"/>
                <w:szCs w:val="20"/>
              </w:rPr>
            </w:pPr>
          </w:p>
        </w:tc>
      </w:tr>
      <w:tr w:rsidR="004111A3" w14:paraId="48CEC1EB" w14:textId="77777777">
        <w:trPr>
          <w:gridAfter w:val="2"/>
          <w:wAfter w:w="41" w:type="dxa"/>
        </w:trPr>
        <w:tc>
          <w:tcPr>
            <w:tcW w:w="1149" w:type="dxa"/>
            <w:vMerge w:val="restart"/>
          </w:tcPr>
          <w:p w14:paraId="2D0AF440" w14:textId="77777777" w:rsidR="004111A3" w:rsidRDefault="004111A3">
            <w:pPr>
              <w:spacing w:before="120" w:after="120"/>
              <w:rPr>
                <w:b/>
                <w:color w:val="000000"/>
                <w:sz w:val="20"/>
                <w:szCs w:val="20"/>
              </w:rPr>
            </w:pPr>
          </w:p>
        </w:tc>
        <w:tc>
          <w:tcPr>
            <w:tcW w:w="1134" w:type="dxa"/>
            <w:vMerge w:val="restart"/>
          </w:tcPr>
          <w:p w14:paraId="1848FB9E" w14:textId="77777777" w:rsidR="004111A3" w:rsidRDefault="00A909B0">
            <w:pPr>
              <w:widowControl w:val="0"/>
              <w:tabs>
                <w:tab w:val="left" w:pos="286"/>
                <w:tab w:val="left" w:pos="597"/>
              </w:tabs>
              <w:spacing w:before="120" w:after="120"/>
              <w:jc w:val="center"/>
              <w:rPr>
                <w:b/>
                <w:color w:val="000000"/>
                <w:sz w:val="20"/>
                <w:szCs w:val="20"/>
              </w:rPr>
            </w:pPr>
            <w:r>
              <w:rPr>
                <w:b/>
                <w:color w:val="000000"/>
                <w:sz w:val="20"/>
                <w:szCs w:val="20"/>
              </w:rPr>
              <w:t>C.2 Якщо тільки повна вартість:</w:t>
            </w:r>
          </w:p>
          <w:p w14:paraId="42E99100" w14:textId="77777777" w:rsidR="004111A3" w:rsidRDefault="00A909B0">
            <w:pPr>
              <w:widowControl w:val="0"/>
              <w:tabs>
                <w:tab w:val="left" w:pos="286"/>
                <w:tab w:val="left" w:pos="597"/>
              </w:tabs>
              <w:spacing w:before="120" w:after="120"/>
              <w:jc w:val="center"/>
              <w:rPr>
                <w:color w:val="7030A0"/>
                <w:sz w:val="20"/>
                <w:szCs w:val="20"/>
              </w:rPr>
            </w:pPr>
            <w:r>
              <w:rPr>
                <w:color w:val="7030A0"/>
                <w:sz w:val="20"/>
                <w:szCs w:val="20"/>
              </w:rPr>
              <w:t xml:space="preserve">(опція в HE, RFCS, DEP, EDF, SMP, EU4H, EUAF, </w:t>
            </w:r>
            <w:r>
              <w:rPr>
                <w:color w:val="7030A0"/>
                <w:sz w:val="20"/>
                <w:szCs w:val="20"/>
              </w:rPr>
              <w:lastRenderedPageBreak/>
              <w:t>UCPM; обов'язкова в CEF, CCEI, HUMA)</w:t>
            </w:r>
          </w:p>
          <w:p w14:paraId="156C741C" w14:textId="77777777" w:rsidR="004111A3" w:rsidRDefault="004111A3">
            <w:pPr>
              <w:widowControl w:val="0"/>
              <w:tabs>
                <w:tab w:val="left" w:pos="286"/>
                <w:tab w:val="left" w:pos="597"/>
              </w:tabs>
              <w:spacing w:before="120" w:after="120"/>
              <w:jc w:val="center"/>
              <w:rPr>
                <w:b/>
                <w:color w:val="000000"/>
                <w:sz w:val="20"/>
                <w:szCs w:val="20"/>
              </w:rPr>
            </w:pPr>
          </w:p>
        </w:tc>
        <w:tc>
          <w:tcPr>
            <w:tcW w:w="6273" w:type="dxa"/>
            <w:vMerge w:val="restart"/>
            <w:shd w:val="clear" w:color="auto" w:fill="auto"/>
            <w:tcMar>
              <w:top w:w="0" w:type="dxa"/>
              <w:left w:w="108" w:type="dxa"/>
              <w:bottom w:w="0" w:type="dxa"/>
              <w:right w:w="108" w:type="dxa"/>
            </w:tcMar>
          </w:tcPr>
          <w:p w14:paraId="7CAF181B" w14:textId="77777777" w:rsidR="004111A3" w:rsidRDefault="00A909B0">
            <w:pPr>
              <w:spacing w:before="120" w:after="120"/>
              <w:jc w:val="left"/>
              <w:rPr>
                <w:color w:val="000000"/>
                <w:sz w:val="20"/>
                <w:szCs w:val="20"/>
              </w:rPr>
            </w:pPr>
            <w:r>
              <w:rPr>
                <w:b/>
                <w:i/>
                <w:color w:val="000000"/>
                <w:sz w:val="20"/>
                <w:szCs w:val="20"/>
              </w:rPr>
              <w:lastRenderedPageBreak/>
              <w:t>Для обладнання, що увійшло до вибірки:</w:t>
            </w:r>
          </w:p>
          <w:p w14:paraId="643CBE04" w14:textId="77777777" w:rsidR="004111A3" w:rsidRDefault="00A909B0">
            <w:pPr>
              <w:tabs>
                <w:tab w:val="left" w:pos="313"/>
              </w:tabs>
              <w:spacing w:before="120" w:after="120"/>
              <w:rPr>
                <w:color w:val="000000"/>
                <w:sz w:val="20"/>
                <w:szCs w:val="20"/>
              </w:rPr>
            </w:pPr>
            <w:r>
              <w:rPr>
                <w:color w:val="000000"/>
                <w:sz w:val="20"/>
                <w:szCs w:val="20"/>
              </w:rPr>
              <w:t>Фахівець здійснив загальну перевірку прийнятності та неприйнятності витрат (див. вище).</w:t>
            </w:r>
          </w:p>
          <w:p w14:paraId="09528330" w14:textId="77777777" w:rsidR="004111A3" w:rsidRDefault="00A909B0">
            <w:pPr>
              <w:tabs>
                <w:tab w:val="left" w:pos="313"/>
              </w:tabs>
              <w:spacing w:before="120" w:after="120"/>
              <w:rPr>
                <w:color w:val="000000"/>
                <w:sz w:val="20"/>
                <w:szCs w:val="20"/>
              </w:rPr>
            </w:pPr>
            <w:r>
              <w:rPr>
                <w:color w:val="000000"/>
                <w:sz w:val="20"/>
                <w:szCs w:val="20"/>
              </w:rPr>
              <w:t>Фахівець здійснив загальну перевірку прийнятності витрат на закупівлю (див. вище).</w:t>
            </w:r>
          </w:p>
          <w:p w14:paraId="3D7F72D9" w14:textId="77777777" w:rsidR="004111A3" w:rsidRDefault="00A909B0">
            <w:pPr>
              <w:tabs>
                <w:tab w:val="left" w:pos="313"/>
              </w:tabs>
              <w:spacing w:before="120" w:after="120"/>
              <w:rPr>
                <w:color w:val="000000"/>
                <w:sz w:val="20"/>
                <w:szCs w:val="20"/>
              </w:rPr>
            </w:pPr>
            <w:r>
              <w:rPr>
                <w:color w:val="000000"/>
                <w:sz w:val="20"/>
                <w:szCs w:val="20"/>
              </w:rPr>
              <w:t>Для підтвердження стандартних висновків, наведених у наступній колонці, фахівець перевірив таке:</w:t>
            </w:r>
          </w:p>
          <w:p w14:paraId="5D65C154" w14:textId="77777777" w:rsidR="004111A3" w:rsidRDefault="00A909B0">
            <w:pPr>
              <w:tabs>
                <w:tab w:val="left" w:pos="313"/>
              </w:tabs>
              <w:spacing w:before="120" w:after="120"/>
              <w:rPr>
                <w:color w:val="000000"/>
                <w:sz w:val="20"/>
                <w:szCs w:val="20"/>
              </w:rPr>
            </w:pPr>
            <w:r>
              <w:rPr>
                <w:color w:val="000000"/>
                <w:sz w:val="20"/>
                <w:szCs w:val="20"/>
              </w:rPr>
              <w:lastRenderedPageBreak/>
              <w:t>Для "обладнання, інфраструктури або інших активів" ("обладнання"), відібраних у вибірці, які обліковуються як повні капіталізовані витрати (замість амортизаційних), фахівець перевірив, що</w:t>
            </w:r>
          </w:p>
          <w:p w14:paraId="23B68CD5"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Грантова угода чітко передбачає, що закупівля обладнання, спеціально призначеного для проекту (або розробленого в рамках виконання завдань проекту), може бути задекларована як повна капіталізація витрат</w:t>
            </w:r>
          </w:p>
          <w:p w14:paraId="2D458EA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відповідають умовам прийнятності витрат, що застосовуються до відповідних категорій витрат</w:t>
            </w:r>
          </w:p>
          <w:p w14:paraId="607DD31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такі капіталізовані витрати відповідають витратам, понесеним на придбання або розробку обладнання, інфраструктури чи інших активів</w:t>
            </w:r>
          </w:p>
          <w:p w14:paraId="5617E4F5"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вони обліковуються на рахунку основних засобів учасника відповідно до міжнародних стандартів бухгалтерського обліку та звичайної практики обліку витрат учасника</w:t>
            </w:r>
          </w:p>
          <w:p w14:paraId="6DB76F68"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немає подвійного нарахування витрат (зокрема, немає нарахування амортизаційних витрат на прототип або пілотну установку в рамках гранту або іншого гранту ЄС).</w:t>
            </w:r>
          </w:p>
          <w:p w14:paraId="3139D1E8" w14:textId="77777777" w:rsidR="004111A3" w:rsidRDefault="00A909B0">
            <w:pPr>
              <w:spacing w:before="120" w:after="120"/>
              <w:jc w:val="left"/>
              <w:rPr>
                <w:color w:val="000000"/>
                <w:sz w:val="20"/>
                <w:szCs w:val="20"/>
              </w:rPr>
            </w:pPr>
            <w:r>
              <w:rPr>
                <w:color w:val="000000"/>
                <w:sz w:val="20"/>
                <w:szCs w:val="20"/>
              </w:rPr>
              <w:t>Витрати на оренду або лізинг такого обладнання також є прийнятними, якщо вони не перевищують амортизаційні витрати на аналогічне обладнання, інфраструктуру або активи і не включають жодних комісій за фінансування. Якщо обладнання не було придбане, а орендоване або взяте в лізинг, фахівець також повинен перевірити ці витрати:</w:t>
            </w:r>
          </w:p>
          <w:p w14:paraId="1236852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не перевищують амортизаційні витрати на аналогічне обладнання, інфраструктуру або активи</w:t>
            </w:r>
          </w:p>
          <w:p w14:paraId="509E0047" w14:textId="77777777" w:rsidR="004111A3" w:rsidRDefault="00A909B0">
            <w:pPr>
              <w:numPr>
                <w:ilvl w:val="0"/>
                <w:numId w:val="2"/>
              </w:numPr>
              <w:spacing w:before="120" w:after="120"/>
              <w:ind w:left="504" w:hanging="330"/>
              <w:jc w:val="left"/>
              <w:rPr>
                <w:color w:val="000000"/>
                <w:sz w:val="20"/>
                <w:szCs w:val="20"/>
              </w:rPr>
            </w:pPr>
            <w:r>
              <w:rPr>
                <w:i/>
                <w:color w:val="000000"/>
                <w:sz w:val="20"/>
                <w:szCs w:val="20"/>
              </w:rPr>
              <w:t>не включати будь-які фінансові збори (наприклад, фінансові збори, включені в платежі за фінансовим лізингом, або відсотки за кредитами, взятими для фінансування покупки)</w:t>
            </w:r>
          </w:p>
          <w:p w14:paraId="587D93F6" w14:textId="77777777" w:rsidR="004111A3" w:rsidRDefault="00A909B0">
            <w:pPr>
              <w:numPr>
                <w:ilvl w:val="0"/>
                <w:numId w:val="2"/>
              </w:numPr>
              <w:spacing w:before="120" w:after="120"/>
              <w:ind w:left="504" w:hanging="330"/>
              <w:jc w:val="left"/>
              <w:rPr>
                <w:color w:val="000000"/>
                <w:sz w:val="20"/>
                <w:szCs w:val="20"/>
              </w:rPr>
            </w:pPr>
            <w:r>
              <w:rPr>
                <w:i/>
                <w:color w:val="000000"/>
                <w:sz w:val="20"/>
                <w:szCs w:val="20"/>
              </w:rPr>
              <w:lastRenderedPageBreak/>
              <w:t xml:space="preserve">відсутнє подвійне нарахування витрат (наприклад, не нараховується амортизація на обладнання, яке раніше було повністю профінансовано за рахунок гранту ЄС) </w:t>
            </w:r>
          </w:p>
          <w:p w14:paraId="64A21AFB" w14:textId="77777777" w:rsidR="004111A3" w:rsidRDefault="00A909B0">
            <w:pPr>
              <w:spacing w:before="120" w:after="120"/>
              <w:jc w:val="left"/>
              <w:rPr>
                <w:color w:val="000000"/>
                <w:sz w:val="20"/>
                <w:szCs w:val="20"/>
              </w:rPr>
            </w:pPr>
            <w:r>
              <w:rPr>
                <w:noProof/>
                <w:sz w:val="18"/>
                <w:szCs w:val="18"/>
              </w:rPr>
              <w:drawing>
                <wp:inline distT="0" distB="0" distL="0" distR="0" wp14:anchorId="65B53610" wp14:editId="73E7F8B3">
                  <wp:extent cx="148590" cy="148590"/>
                  <wp:effectExtent l="0" t="0" r="0" b="0"/>
                  <wp:docPr id="804632206" name="image1.png" descr="cid:image002.png@01D0B99B.7C10A740"/>
                  <wp:cNvGraphicFramePr/>
                  <a:graphic xmlns:a="http://schemas.openxmlformats.org/drawingml/2006/main">
                    <a:graphicData uri="http://schemas.openxmlformats.org/drawingml/2006/picture">
                      <pic:pic xmlns:pic="http://schemas.openxmlformats.org/drawingml/2006/picture">
                        <pic:nvPicPr>
                          <pic:cNvPr id="0" name="image1.png" descr="cid:image002.png@01D0B99B.7C10A740"/>
                          <pic:cNvPicPr preferRelativeResize="0"/>
                        </pic:nvPicPr>
                        <pic:blipFill>
                          <a:blip r:embed="rId15"/>
                          <a:srcRect/>
                          <a:stretch>
                            <a:fillRect/>
                          </a:stretch>
                        </pic:blipFill>
                        <pic:spPr>
                          <a:xfrm>
                            <a:off x="0" y="0"/>
                            <a:ext cx="148590" cy="148590"/>
                          </a:xfrm>
                          <a:prstGeom prst="rect">
                            <a:avLst/>
                          </a:prstGeom>
                          <a:ln/>
                        </pic:spPr>
                      </pic:pic>
                    </a:graphicData>
                  </a:graphic>
                </wp:inline>
              </w:drawing>
            </w:r>
            <w:r>
              <w:rPr>
                <w:color w:val="000000"/>
                <w:sz w:val="20"/>
                <w:szCs w:val="20"/>
              </w:rPr>
              <w:t xml:space="preserve"> Обладнання, яке не відповідає конкретним умовам щодо повної вартості (наприклад, обладнання, придбане до початку акції, але використане під час акції), має бути задеклароване із застосуванням звичайної амортизаційної вартості.</w:t>
            </w:r>
          </w:p>
        </w:tc>
        <w:tc>
          <w:tcPr>
            <w:tcW w:w="4961" w:type="dxa"/>
            <w:gridSpan w:val="2"/>
            <w:shd w:val="clear" w:color="auto" w:fill="auto"/>
            <w:tcMar>
              <w:top w:w="0" w:type="dxa"/>
              <w:left w:w="108" w:type="dxa"/>
              <w:bottom w:w="0" w:type="dxa"/>
              <w:right w:w="108" w:type="dxa"/>
            </w:tcMar>
          </w:tcPr>
          <w:p w14:paraId="39F20E7D"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lastRenderedPageBreak/>
              <w:t>69) Витрати були прийнятними (без неприйнятних компонентів), ідентифікованими та перевіреними, пов'язаними з проектом та понесеними учасником протягом терміну дії проекту (підтвердження оплати, відсутність повторного виставлення рахунків іншим організаціям).</w:t>
            </w:r>
          </w:p>
        </w:tc>
        <w:tc>
          <w:tcPr>
            <w:tcW w:w="1418" w:type="dxa"/>
            <w:gridSpan w:val="2"/>
            <w:shd w:val="clear" w:color="auto" w:fill="auto"/>
            <w:tcMar>
              <w:top w:w="0" w:type="dxa"/>
              <w:left w:w="108" w:type="dxa"/>
              <w:bottom w:w="0" w:type="dxa"/>
              <w:right w:w="108" w:type="dxa"/>
            </w:tcMar>
          </w:tcPr>
          <w:p w14:paraId="16229C31"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4E5513FB" w14:textId="77777777">
        <w:trPr>
          <w:gridAfter w:val="2"/>
          <w:wAfter w:w="41" w:type="dxa"/>
        </w:trPr>
        <w:tc>
          <w:tcPr>
            <w:tcW w:w="1149" w:type="dxa"/>
            <w:vMerge/>
          </w:tcPr>
          <w:p w14:paraId="3EF21E1A"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34" w:type="dxa"/>
            <w:vMerge/>
          </w:tcPr>
          <w:p w14:paraId="69799B18"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273" w:type="dxa"/>
            <w:vMerge/>
            <w:shd w:val="clear" w:color="auto" w:fill="auto"/>
            <w:tcMar>
              <w:top w:w="0" w:type="dxa"/>
              <w:left w:w="108" w:type="dxa"/>
              <w:bottom w:w="0" w:type="dxa"/>
              <w:right w:w="108" w:type="dxa"/>
            </w:tcMar>
          </w:tcPr>
          <w:p w14:paraId="793FC4C7"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gridSpan w:val="2"/>
            <w:shd w:val="clear" w:color="auto" w:fill="auto"/>
            <w:tcMar>
              <w:top w:w="0" w:type="dxa"/>
              <w:left w:w="108" w:type="dxa"/>
              <w:bottom w:w="0" w:type="dxa"/>
              <w:right w:w="108" w:type="dxa"/>
            </w:tcMar>
          </w:tcPr>
          <w:p w14:paraId="1E6CF710"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 xml:space="preserve">Закупівлі здійснювалися із застосуванням звичайної практики </w:t>
            </w:r>
            <w:proofErr w:type="spellStart"/>
            <w:r>
              <w:rPr>
                <w:color w:val="000000"/>
                <w:sz w:val="20"/>
                <w:szCs w:val="20"/>
              </w:rPr>
              <w:t>закупівель</w:t>
            </w:r>
            <w:proofErr w:type="spellEnd"/>
            <w:r>
              <w:rPr>
                <w:color w:val="000000"/>
                <w:sz w:val="20"/>
                <w:szCs w:val="20"/>
              </w:rPr>
              <w:t xml:space="preserve"> учасника та, за необхідності, інших документів/процедур, </w:t>
            </w:r>
            <w:r>
              <w:rPr>
                <w:color w:val="000000"/>
                <w:sz w:val="20"/>
                <w:szCs w:val="20"/>
              </w:rPr>
              <w:lastRenderedPageBreak/>
              <w:t xml:space="preserve">необхідних для дотримання національного законодавства у сфері публічних </w:t>
            </w:r>
            <w:proofErr w:type="spellStart"/>
            <w:r>
              <w:rPr>
                <w:color w:val="000000"/>
                <w:sz w:val="20"/>
                <w:szCs w:val="20"/>
              </w:rPr>
              <w:t>закупівель</w:t>
            </w:r>
            <w:proofErr w:type="spellEnd"/>
            <w:r>
              <w:rPr>
                <w:color w:val="000000"/>
                <w:sz w:val="20"/>
                <w:szCs w:val="20"/>
              </w:rPr>
              <w:t>.</w:t>
            </w:r>
          </w:p>
        </w:tc>
        <w:tc>
          <w:tcPr>
            <w:tcW w:w="1418" w:type="dxa"/>
            <w:gridSpan w:val="2"/>
            <w:shd w:val="clear" w:color="auto" w:fill="auto"/>
            <w:tcMar>
              <w:top w:w="0" w:type="dxa"/>
              <w:left w:w="108" w:type="dxa"/>
              <w:bottom w:w="0" w:type="dxa"/>
              <w:right w:w="108" w:type="dxa"/>
            </w:tcMar>
          </w:tcPr>
          <w:p w14:paraId="554EE286" w14:textId="77777777" w:rsidR="004111A3" w:rsidRDefault="00A909B0">
            <w:pPr>
              <w:spacing w:before="120" w:after="120"/>
              <w:jc w:val="center"/>
              <w:rPr>
                <w:color w:val="000000"/>
                <w:sz w:val="20"/>
                <w:szCs w:val="20"/>
              </w:rPr>
            </w:pPr>
            <w:r>
              <w:rPr>
                <w:color w:val="000000"/>
                <w:sz w:val="20"/>
                <w:szCs w:val="20"/>
              </w:rPr>
              <w:lastRenderedPageBreak/>
              <w:t>ТАК / НІ / Н.З.</w:t>
            </w:r>
          </w:p>
        </w:tc>
      </w:tr>
      <w:tr w:rsidR="004111A3" w14:paraId="4FD32EC1" w14:textId="77777777">
        <w:trPr>
          <w:gridAfter w:val="2"/>
          <w:wAfter w:w="41" w:type="dxa"/>
        </w:trPr>
        <w:tc>
          <w:tcPr>
            <w:tcW w:w="1149" w:type="dxa"/>
            <w:vMerge/>
          </w:tcPr>
          <w:p w14:paraId="30EC743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7A32B79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06B93D3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0B6E7DD1"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Закупівлі здійснювалися за принципом найкращого співвідношення ціни та якості або за найнижчою ціною.</w:t>
            </w:r>
          </w:p>
        </w:tc>
        <w:tc>
          <w:tcPr>
            <w:tcW w:w="1418" w:type="dxa"/>
            <w:gridSpan w:val="2"/>
            <w:shd w:val="clear" w:color="auto" w:fill="auto"/>
            <w:tcMar>
              <w:top w:w="0" w:type="dxa"/>
              <w:left w:w="108" w:type="dxa"/>
              <w:bottom w:w="0" w:type="dxa"/>
              <w:right w:w="108" w:type="dxa"/>
            </w:tcMar>
          </w:tcPr>
          <w:p w14:paraId="28DD60B1"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6C3B822" w14:textId="77777777">
        <w:trPr>
          <w:gridAfter w:val="2"/>
          <w:wAfter w:w="41" w:type="dxa"/>
        </w:trPr>
        <w:tc>
          <w:tcPr>
            <w:tcW w:w="1149" w:type="dxa"/>
            <w:vMerge/>
          </w:tcPr>
          <w:p w14:paraId="73B594C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1818868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7FECED5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3F59DA5A"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Учасник застосував процедури для забезпечення відсутності конфлікту інтересів, і за результатами нашої перевірки ми не виявили нічого, що могло б свідчити про потенційний конфлікт інтересів. Учасник надав необхідне письмове підтвердження.</w:t>
            </w:r>
          </w:p>
        </w:tc>
        <w:tc>
          <w:tcPr>
            <w:tcW w:w="1418" w:type="dxa"/>
            <w:gridSpan w:val="2"/>
            <w:shd w:val="clear" w:color="auto" w:fill="auto"/>
            <w:tcMar>
              <w:top w:w="0" w:type="dxa"/>
              <w:left w:w="108" w:type="dxa"/>
              <w:bottom w:w="0" w:type="dxa"/>
              <w:right w:w="108" w:type="dxa"/>
            </w:tcMar>
          </w:tcPr>
          <w:p w14:paraId="751A8DED"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0E8D7054" w14:textId="77777777">
        <w:trPr>
          <w:gridAfter w:val="2"/>
          <w:wAfter w:w="41" w:type="dxa"/>
        </w:trPr>
        <w:tc>
          <w:tcPr>
            <w:tcW w:w="1149" w:type="dxa"/>
            <w:vMerge/>
          </w:tcPr>
          <w:p w14:paraId="6D7BADB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3CC43C9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4F564C0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3CB0293F" w14:textId="77777777" w:rsidR="004111A3" w:rsidRDefault="00A909B0">
            <w:pPr>
              <w:numPr>
                <w:ilvl w:val="0"/>
                <w:numId w:val="3"/>
              </w:numPr>
              <w:spacing w:before="120" w:after="120"/>
              <w:rPr>
                <w:color w:val="000000"/>
                <w:sz w:val="20"/>
                <w:szCs w:val="20"/>
              </w:rPr>
            </w:pPr>
            <w:r>
              <w:rPr>
                <w:color w:val="000000"/>
                <w:sz w:val="20"/>
                <w:szCs w:val="20"/>
              </w:rPr>
              <w:t>Умови прийнятності витрат, що застосовуються до відповідних категорій витрат, виконані.</w:t>
            </w:r>
          </w:p>
        </w:tc>
        <w:tc>
          <w:tcPr>
            <w:tcW w:w="1418" w:type="dxa"/>
            <w:gridSpan w:val="2"/>
            <w:shd w:val="clear" w:color="auto" w:fill="auto"/>
            <w:tcMar>
              <w:top w:w="0" w:type="dxa"/>
              <w:left w:w="108" w:type="dxa"/>
              <w:bottom w:w="0" w:type="dxa"/>
              <w:right w:w="108" w:type="dxa"/>
            </w:tcMar>
          </w:tcPr>
          <w:p w14:paraId="4D2B3B44"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50A383D2" w14:textId="77777777">
        <w:trPr>
          <w:gridAfter w:val="2"/>
          <w:wAfter w:w="41" w:type="dxa"/>
        </w:trPr>
        <w:tc>
          <w:tcPr>
            <w:tcW w:w="1149" w:type="dxa"/>
            <w:vMerge/>
          </w:tcPr>
          <w:p w14:paraId="631B0B1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1F84B97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41CBAA6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3D53FBCB"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Грантова угода дозволяє задекларувати придбання обладнання, інфраструктури або інших активів, спеціально призначених для реалізації проекту (або розроблених в рамках виконання завдань проекту), як повністю капіталізовані витрати.</w:t>
            </w:r>
          </w:p>
        </w:tc>
        <w:tc>
          <w:tcPr>
            <w:tcW w:w="1418" w:type="dxa"/>
            <w:gridSpan w:val="2"/>
            <w:shd w:val="clear" w:color="auto" w:fill="auto"/>
            <w:tcMar>
              <w:top w:w="0" w:type="dxa"/>
              <w:left w:w="108" w:type="dxa"/>
              <w:bottom w:w="0" w:type="dxa"/>
              <w:right w:w="108" w:type="dxa"/>
            </w:tcMar>
          </w:tcPr>
          <w:p w14:paraId="59EF6932"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5F405B66" w14:textId="77777777">
        <w:trPr>
          <w:gridAfter w:val="2"/>
          <w:wAfter w:w="41" w:type="dxa"/>
        </w:trPr>
        <w:tc>
          <w:tcPr>
            <w:tcW w:w="1149" w:type="dxa"/>
            <w:vMerge/>
          </w:tcPr>
          <w:p w14:paraId="2C04F54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554213B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62FAF71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50E55218"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Повністю капіталізовані витрати були відображені на рахунку постійних витрат у бухгалтерському обліку учасника відповідно до міжнародних стандартів бухгалтерського обліку та звичайної бухгалтерської практики учасника.</w:t>
            </w:r>
          </w:p>
        </w:tc>
        <w:tc>
          <w:tcPr>
            <w:tcW w:w="1418" w:type="dxa"/>
            <w:gridSpan w:val="2"/>
            <w:shd w:val="clear" w:color="auto" w:fill="auto"/>
            <w:tcMar>
              <w:top w:w="0" w:type="dxa"/>
              <w:left w:w="108" w:type="dxa"/>
              <w:bottom w:w="0" w:type="dxa"/>
              <w:right w:w="108" w:type="dxa"/>
            </w:tcMar>
          </w:tcPr>
          <w:p w14:paraId="088B336C"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6E13DD97" w14:textId="77777777">
        <w:trPr>
          <w:gridAfter w:val="2"/>
          <w:wAfter w:w="41" w:type="dxa"/>
        </w:trPr>
        <w:tc>
          <w:tcPr>
            <w:tcW w:w="1149" w:type="dxa"/>
            <w:vMerge/>
          </w:tcPr>
          <w:p w14:paraId="42FF357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53B3E9A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3817A56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7E3226CD" w14:textId="77777777" w:rsidR="004111A3" w:rsidRDefault="00A909B0">
            <w:pPr>
              <w:numPr>
                <w:ilvl w:val="0"/>
                <w:numId w:val="3"/>
              </w:numPr>
              <w:spacing w:before="120" w:after="120"/>
              <w:rPr>
                <w:color w:val="000000"/>
                <w:sz w:val="20"/>
                <w:szCs w:val="20"/>
              </w:rPr>
            </w:pPr>
            <w:r>
              <w:rPr>
                <w:color w:val="000000"/>
                <w:sz w:val="20"/>
                <w:szCs w:val="20"/>
              </w:rPr>
              <w:t>Повністю капіталізовані витрати відповідають витратам, понесеним на придбання або розробку обладнання, при цьому не відбувається подвійного нарахування витрат.</w:t>
            </w:r>
          </w:p>
        </w:tc>
        <w:tc>
          <w:tcPr>
            <w:tcW w:w="1418" w:type="dxa"/>
            <w:gridSpan w:val="2"/>
            <w:shd w:val="clear" w:color="auto" w:fill="auto"/>
            <w:tcMar>
              <w:top w:w="0" w:type="dxa"/>
              <w:left w:w="108" w:type="dxa"/>
              <w:bottom w:w="0" w:type="dxa"/>
              <w:right w:w="108" w:type="dxa"/>
            </w:tcMar>
          </w:tcPr>
          <w:p w14:paraId="65078F5D"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0D0E6693" w14:textId="77777777">
        <w:trPr>
          <w:gridAfter w:val="2"/>
          <w:wAfter w:w="41" w:type="dxa"/>
        </w:trPr>
        <w:tc>
          <w:tcPr>
            <w:tcW w:w="1149" w:type="dxa"/>
            <w:vMerge/>
          </w:tcPr>
          <w:p w14:paraId="0B28DEE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39FBC68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0AFC83B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1454AB77"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Витрати на оренду або лізинг обладнання не перевищують амортизаційних витрат на аналогічне обладнання, не включають жодних комісій за фінансування та не мають подвійного нарахування витрат.</w:t>
            </w:r>
          </w:p>
        </w:tc>
        <w:tc>
          <w:tcPr>
            <w:tcW w:w="1418" w:type="dxa"/>
            <w:gridSpan w:val="2"/>
            <w:shd w:val="clear" w:color="auto" w:fill="auto"/>
            <w:tcMar>
              <w:top w:w="0" w:type="dxa"/>
              <w:left w:w="108" w:type="dxa"/>
              <w:bottom w:w="0" w:type="dxa"/>
              <w:right w:w="108" w:type="dxa"/>
            </w:tcMar>
          </w:tcPr>
          <w:p w14:paraId="0F42B45F"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67450B52" w14:textId="77777777">
        <w:trPr>
          <w:gridAfter w:val="2"/>
          <w:wAfter w:w="41" w:type="dxa"/>
        </w:trPr>
        <w:tc>
          <w:tcPr>
            <w:tcW w:w="1149" w:type="dxa"/>
            <w:vMerge w:val="restart"/>
          </w:tcPr>
          <w:p w14:paraId="7C81C281" w14:textId="77777777" w:rsidR="004111A3" w:rsidRDefault="004111A3">
            <w:pPr>
              <w:spacing w:before="120" w:after="120"/>
              <w:rPr>
                <w:b/>
                <w:color w:val="000000"/>
                <w:sz w:val="20"/>
                <w:szCs w:val="20"/>
              </w:rPr>
            </w:pPr>
          </w:p>
        </w:tc>
        <w:tc>
          <w:tcPr>
            <w:tcW w:w="1134" w:type="dxa"/>
            <w:vMerge w:val="restart"/>
          </w:tcPr>
          <w:p w14:paraId="190FDC68" w14:textId="77777777" w:rsidR="004111A3" w:rsidRDefault="00A909B0">
            <w:pPr>
              <w:spacing w:before="120" w:after="120"/>
              <w:jc w:val="center"/>
              <w:rPr>
                <w:b/>
                <w:color w:val="000000"/>
                <w:sz w:val="20"/>
                <w:szCs w:val="20"/>
              </w:rPr>
            </w:pPr>
            <w:r>
              <w:rPr>
                <w:b/>
                <w:color w:val="000000"/>
                <w:sz w:val="20"/>
                <w:szCs w:val="20"/>
              </w:rPr>
              <w:t>C.2 Якщо амортизація та повна вартість для переліченого обладнання:</w:t>
            </w:r>
          </w:p>
          <w:p w14:paraId="108739E8" w14:textId="77777777" w:rsidR="004111A3" w:rsidRDefault="00A909B0">
            <w:pPr>
              <w:spacing w:before="120" w:after="120"/>
              <w:jc w:val="center"/>
              <w:rPr>
                <w:color w:val="7030A0"/>
                <w:sz w:val="20"/>
                <w:szCs w:val="20"/>
              </w:rPr>
            </w:pPr>
            <w:r>
              <w:rPr>
                <w:color w:val="7030A0"/>
                <w:sz w:val="20"/>
                <w:szCs w:val="20"/>
              </w:rPr>
              <w:t>(опція для HE, RFCS, DEP, EDF, SMP, AMIF/ISF/BMVI, PERI, UCPM)</w:t>
            </w:r>
          </w:p>
          <w:p w14:paraId="2EC52EA2" w14:textId="77777777" w:rsidR="004111A3" w:rsidRDefault="004111A3">
            <w:pPr>
              <w:spacing w:before="120" w:after="120"/>
              <w:jc w:val="center"/>
              <w:rPr>
                <w:b/>
                <w:color w:val="000000"/>
                <w:sz w:val="20"/>
                <w:szCs w:val="20"/>
              </w:rPr>
            </w:pPr>
          </w:p>
        </w:tc>
        <w:tc>
          <w:tcPr>
            <w:tcW w:w="6273" w:type="dxa"/>
            <w:vMerge w:val="restart"/>
            <w:shd w:val="clear" w:color="auto" w:fill="auto"/>
            <w:tcMar>
              <w:top w:w="0" w:type="dxa"/>
              <w:left w:w="108" w:type="dxa"/>
              <w:bottom w:w="0" w:type="dxa"/>
              <w:right w:w="108" w:type="dxa"/>
            </w:tcMar>
          </w:tcPr>
          <w:p w14:paraId="5D9ABCEA" w14:textId="77777777" w:rsidR="004111A3" w:rsidRDefault="00A909B0">
            <w:pPr>
              <w:spacing w:before="120" w:after="120"/>
              <w:jc w:val="left"/>
              <w:rPr>
                <w:color w:val="000000"/>
                <w:sz w:val="20"/>
                <w:szCs w:val="20"/>
              </w:rPr>
            </w:pPr>
            <w:r>
              <w:rPr>
                <w:b/>
                <w:i/>
                <w:color w:val="000000"/>
                <w:sz w:val="20"/>
                <w:szCs w:val="20"/>
              </w:rPr>
              <w:t>Для обладнання, що увійшло до вибірки:</w:t>
            </w:r>
          </w:p>
          <w:p w14:paraId="144E4277" w14:textId="77777777" w:rsidR="004111A3" w:rsidRDefault="00A909B0">
            <w:pPr>
              <w:spacing w:before="120" w:after="120"/>
              <w:rPr>
                <w:color w:val="000000"/>
                <w:sz w:val="20"/>
                <w:szCs w:val="20"/>
              </w:rPr>
            </w:pPr>
            <w:r>
              <w:rPr>
                <w:color w:val="000000"/>
                <w:sz w:val="20"/>
                <w:szCs w:val="20"/>
              </w:rPr>
              <w:t>Фахівець здійснив загальну перевірку прийнятності та неприйнятності витрат (див. вище).</w:t>
            </w:r>
          </w:p>
          <w:p w14:paraId="19588076" w14:textId="77777777" w:rsidR="004111A3" w:rsidRDefault="00A909B0">
            <w:pPr>
              <w:spacing w:before="120" w:after="120"/>
              <w:rPr>
                <w:color w:val="000000"/>
                <w:sz w:val="20"/>
                <w:szCs w:val="20"/>
              </w:rPr>
            </w:pPr>
            <w:r>
              <w:rPr>
                <w:color w:val="000000"/>
                <w:sz w:val="20"/>
                <w:szCs w:val="20"/>
              </w:rPr>
              <w:t>Виконується процедура, проаналізована вище для категорії витрат С.2 (тільки амортизація).</w:t>
            </w:r>
          </w:p>
          <w:p w14:paraId="7344EF4D" w14:textId="77777777" w:rsidR="004111A3" w:rsidRDefault="00A909B0">
            <w:pPr>
              <w:spacing w:before="120" w:after="120"/>
              <w:rPr>
                <w:color w:val="000000"/>
                <w:sz w:val="20"/>
                <w:szCs w:val="20"/>
              </w:rPr>
            </w:pPr>
            <w:r>
              <w:rPr>
                <w:color w:val="000000"/>
                <w:sz w:val="20"/>
                <w:szCs w:val="20"/>
              </w:rPr>
              <w:t>Крім того, витрати на обладнання, придбане спеціально для проекту (або розроблене в рамках виконання завдань проекту), у виняткових випадках можуть бути задекларовані як повністю капіталізовані витрати, якщо ці активи перелічені в ст. 6.C.2.</w:t>
            </w:r>
          </w:p>
          <w:p w14:paraId="369D6545" w14:textId="77777777" w:rsidR="004111A3" w:rsidRDefault="00A909B0">
            <w:pPr>
              <w:spacing w:before="120" w:after="120"/>
              <w:rPr>
                <w:color w:val="000000"/>
                <w:sz w:val="20"/>
                <w:szCs w:val="20"/>
              </w:rPr>
            </w:pPr>
            <w:r>
              <w:rPr>
                <w:color w:val="000000"/>
                <w:sz w:val="20"/>
                <w:szCs w:val="20"/>
              </w:rPr>
              <w:t>Для обладнання, яке оплачується за повною вартістю придбання, щоб підтвердити стандартні висновки в наступній колонці, фахівець перевірив що:</w:t>
            </w:r>
          </w:p>
          <w:p w14:paraId="4F42CB20"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Грантова угода прямо передбачає, що обладнання може бути задеклароване як повністю капіталізовані витрати. Таке обладнання повинно бути перераховане в ст. 6.C.2.</w:t>
            </w:r>
          </w:p>
          <w:p w14:paraId="50777A44"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відповідають умовам прийнятності витрат, що застосовуються до відповідних категорій витрат</w:t>
            </w:r>
          </w:p>
          <w:p w14:paraId="129A754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такі капіталізовані витрати відповідають витратам, понесеним на придбання або розробку обладнання, інфраструктури чи інших активів</w:t>
            </w:r>
          </w:p>
          <w:p w14:paraId="4A91A77D"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lastRenderedPageBreak/>
              <w:t>вони обліковуються на рахунку основних засобів учасника відповідно до міжнародних стандартів бухгалтерського обліку та звичайної практики обліку витрат учасника.</w:t>
            </w:r>
          </w:p>
          <w:p w14:paraId="50D354EE"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немає подвійного нарахування витрат (зокрема, немає нарахування амортизаційних витрат на прототип або пілотну установку в рамках гранту або іншого гранту ЄС).</w:t>
            </w:r>
          </w:p>
          <w:p w14:paraId="566E053A" w14:textId="77777777" w:rsidR="004111A3" w:rsidRDefault="00A909B0">
            <w:pPr>
              <w:spacing w:before="120" w:after="120"/>
              <w:jc w:val="left"/>
              <w:rPr>
                <w:color w:val="000000"/>
                <w:sz w:val="20"/>
                <w:szCs w:val="20"/>
              </w:rPr>
            </w:pPr>
            <w:r>
              <w:rPr>
                <w:color w:val="000000"/>
                <w:sz w:val="20"/>
                <w:szCs w:val="20"/>
              </w:rPr>
              <w:t>Витрати на оренду або лізинг такого обладнання також є прийнятними, якщо вони не перевищують амортизаційні витрати на аналогічне обладнання, інфраструктуру або активи і не включають жодних комісій за фінансування. Якщо обладнання не було придбане, а орендоване або взяте в лізинг, фахівець також повинен перевірити ці витрати:</w:t>
            </w:r>
          </w:p>
          <w:p w14:paraId="55CB68F2"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не перевищують амортизаційні витрати на аналогічне обладнання, інфраструктуру або активи</w:t>
            </w:r>
          </w:p>
          <w:p w14:paraId="7785F4D0" w14:textId="77777777" w:rsidR="004111A3" w:rsidRDefault="00A909B0">
            <w:pPr>
              <w:numPr>
                <w:ilvl w:val="0"/>
                <w:numId w:val="2"/>
              </w:numPr>
              <w:spacing w:before="120" w:after="120"/>
              <w:ind w:left="504" w:hanging="330"/>
              <w:jc w:val="left"/>
              <w:rPr>
                <w:color w:val="000000"/>
                <w:sz w:val="20"/>
                <w:szCs w:val="20"/>
              </w:rPr>
            </w:pPr>
            <w:r>
              <w:rPr>
                <w:i/>
                <w:color w:val="000000"/>
                <w:sz w:val="20"/>
                <w:szCs w:val="20"/>
              </w:rPr>
              <w:t>не включають будь-які фінансові збори (наприклад, фінансові збори, включені в платежі за фінансовим лізингом, або відсотки за кредитами, взятими для фінансування покупки)</w:t>
            </w:r>
          </w:p>
          <w:p w14:paraId="690DB4C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відсутнє подвійне нарахування витрат (наприклад, не нараховується амортизація на обладнання, яке раніше було повністю профінансоване за рахунок гранту ЄС).</w:t>
            </w:r>
          </w:p>
        </w:tc>
        <w:tc>
          <w:tcPr>
            <w:tcW w:w="4961" w:type="dxa"/>
            <w:gridSpan w:val="2"/>
            <w:shd w:val="clear" w:color="auto" w:fill="auto"/>
            <w:tcMar>
              <w:top w:w="0" w:type="dxa"/>
              <w:left w:w="108" w:type="dxa"/>
              <w:bottom w:w="0" w:type="dxa"/>
              <w:right w:w="108" w:type="dxa"/>
            </w:tcMar>
          </w:tcPr>
          <w:p w14:paraId="4DDD9282"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lastRenderedPageBreak/>
              <w:t>Стандартні висновки за категорією витрат С.2 (тільки амортизація) виконано.</w:t>
            </w:r>
          </w:p>
        </w:tc>
        <w:tc>
          <w:tcPr>
            <w:tcW w:w="1418" w:type="dxa"/>
            <w:gridSpan w:val="2"/>
            <w:shd w:val="clear" w:color="auto" w:fill="auto"/>
            <w:tcMar>
              <w:top w:w="0" w:type="dxa"/>
              <w:left w:w="108" w:type="dxa"/>
              <w:bottom w:w="0" w:type="dxa"/>
              <w:right w:w="108" w:type="dxa"/>
            </w:tcMar>
          </w:tcPr>
          <w:p w14:paraId="484A58FF"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197A35C2" w14:textId="77777777">
        <w:trPr>
          <w:gridAfter w:val="2"/>
          <w:wAfter w:w="41" w:type="dxa"/>
        </w:trPr>
        <w:tc>
          <w:tcPr>
            <w:tcW w:w="1149" w:type="dxa"/>
            <w:vMerge/>
          </w:tcPr>
          <w:p w14:paraId="5ED03D14"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34" w:type="dxa"/>
            <w:vMerge/>
          </w:tcPr>
          <w:p w14:paraId="75C3FE81"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273" w:type="dxa"/>
            <w:vMerge/>
            <w:shd w:val="clear" w:color="auto" w:fill="auto"/>
            <w:tcMar>
              <w:top w:w="0" w:type="dxa"/>
              <w:left w:w="108" w:type="dxa"/>
              <w:bottom w:w="0" w:type="dxa"/>
              <w:right w:w="108" w:type="dxa"/>
            </w:tcMar>
          </w:tcPr>
          <w:p w14:paraId="7B079DAF"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gridSpan w:val="2"/>
            <w:shd w:val="clear" w:color="auto" w:fill="auto"/>
            <w:tcMar>
              <w:top w:w="0" w:type="dxa"/>
              <w:left w:w="108" w:type="dxa"/>
              <w:bottom w:w="0" w:type="dxa"/>
              <w:right w:w="108" w:type="dxa"/>
            </w:tcMar>
          </w:tcPr>
          <w:p w14:paraId="6E394878"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Витрати були прийнятними (без неприйнятних компонентів), ідентифікованими та перевіреними, пов'язаними з проектом та понесеними учасником протягом терміну дії проекту (підтвердження оплати, відсутність повторного виставлення рахунків іншим організаціям).</w:t>
            </w:r>
          </w:p>
        </w:tc>
        <w:tc>
          <w:tcPr>
            <w:tcW w:w="1418" w:type="dxa"/>
            <w:gridSpan w:val="2"/>
            <w:shd w:val="clear" w:color="auto" w:fill="auto"/>
            <w:tcMar>
              <w:top w:w="0" w:type="dxa"/>
              <w:left w:w="108" w:type="dxa"/>
              <w:bottom w:w="0" w:type="dxa"/>
              <w:right w:w="108" w:type="dxa"/>
            </w:tcMar>
          </w:tcPr>
          <w:p w14:paraId="269E1436"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38A90474" w14:textId="77777777">
        <w:trPr>
          <w:gridAfter w:val="2"/>
          <w:wAfter w:w="41" w:type="dxa"/>
        </w:trPr>
        <w:tc>
          <w:tcPr>
            <w:tcW w:w="1149" w:type="dxa"/>
            <w:vMerge/>
          </w:tcPr>
          <w:p w14:paraId="006D1AA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74A48E4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67F3EFB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143F6F3C" w14:textId="77777777" w:rsidR="004111A3" w:rsidRDefault="00A909B0">
            <w:pPr>
              <w:numPr>
                <w:ilvl w:val="0"/>
                <w:numId w:val="3"/>
              </w:numPr>
              <w:spacing w:before="120" w:after="120"/>
              <w:jc w:val="left"/>
              <w:rPr>
                <w:color w:val="000000"/>
                <w:sz w:val="20"/>
                <w:szCs w:val="20"/>
              </w:rPr>
            </w:pPr>
            <w:r>
              <w:rPr>
                <w:color w:val="000000"/>
                <w:sz w:val="20"/>
                <w:szCs w:val="20"/>
              </w:rPr>
              <w:t>Умови прийнятності витрат, що застосовуються до відповідних категорій витрат, виконані.</w:t>
            </w:r>
          </w:p>
        </w:tc>
        <w:tc>
          <w:tcPr>
            <w:tcW w:w="1418" w:type="dxa"/>
            <w:gridSpan w:val="2"/>
            <w:shd w:val="clear" w:color="auto" w:fill="auto"/>
            <w:tcMar>
              <w:top w:w="0" w:type="dxa"/>
              <w:left w:w="108" w:type="dxa"/>
              <w:bottom w:w="0" w:type="dxa"/>
              <w:right w:w="108" w:type="dxa"/>
            </w:tcMar>
          </w:tcPr>
          <w:p w14:paraId="609B1607"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737C37EC" w14:textId="77777777">
        <w:trPr>
          <w:gridAfter w:val="2"/>
          <w:wAfter w:w="41" w:type="dxa"/>
        </w:trPr>
        <w:tc>
          <w:tcPr>
            <w:tcW w:w="1149" w:type="dxa"/>
            <w:vMerge/>
          </w:tcPr>
          <w:p w14:paraId="471C9DE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2FE3410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3C42584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584242A2"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Обладнання, витрати на яке були задекларовані як повністю капіталізовані витрати, було перераховано в статті 6.C.2 як обладнання, витрати на яке можуть бути задекларовані як повністю капіталізовані витрати.</w:t>
            </w:r>
          </w:p>
        </w:tc>
        <w:tc>
          <w:tcPr>
            <w:tcW w:w="1418" w:type="dxa"/>
            <w:gridSpan w:val="2"/>
            <w:shd w:val="clear" w:color="auto" w:fill="auto"/>
            <w:tcMar>
              <w:top w:w="0" w:type="dxa"/>
              <w:left w:w="108" w:type="dxa"/>
              <w:bottom w:w="0" w:type="dxa"/>
              <w:right w:w="108" w:type="dxa"/>
            </w:tcMar>
          </w:tcPr>
          <w:p w14:paraId="010337B1"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0EAE50D0" w14:textId="77777777">
        <w:trPr>
          <w:gridAfter w:val="2"/>
          <w:wAfter w:w="41" w:type="dxa"/>
        </w:trPr>
        <w:tc>
          <w:tcPr>
            <w:tcW w:w="1149" w:type="dxa"/>
            <w:vMerge/>
          </w:tcPr>
          <w:p w14:paraId="7F7A428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1057531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011A902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73195EB1"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Повністю капіталізовані витрати були відображені на рахунку постійних витрат у бухгалтерському обліку учасника відповідно до міжнародних стандартів бухгалтерського обліку та звичайної практики обліку витрат учасника.</w:t>
            </w:r>
          </w:p>
        </w:tc>
        <w:tc>
          <w:tcPr>
            <w:tcW w:w="1418" w:type="dxa"/>
            <w:gridSpan w:val="2"/>
            <w:shd w:val="clear" w:color="auto" w:fill="auto"/>
            <w:tcMar>
              <w:top w:w="0" w:type="dxa"/>
              <w:left w:w="108" w:type="dxa"/>
              <w:bottom w:w="0" w:type="dxa"/>
              <w:right w:w="108" w:type="dxa"/>
            </w:tcMar>
          </w:tcPr>
          <w:p w14:paraId="2F52986D"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99E5369" w14:textId="77777777">
        <w:trPr>
          <w:gridAfter w:val="2"/>
          <w:wAfter w:w="41" w:type="dxa"/>
        </w:trPr>
        <w:tc>
          <w:tcPr>
            <w:tcW w:w="1149" w:type="dxa"/>
            <w:vMerge/>
          </w:tcPr>
          <w:p w14:paraId="505EEC6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64A088D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7DAE238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1C96BFB3" w14:textId="77777777" w:rsidR="004111A3" w:rsidRDefault="00A909B0">
            <w:pPr>
              <w:numPr>
                <w:ilvl w:val="0"/>
                <w:numId w:val="3"/>
              </w:numPr>
              <w:spacing w:before="120" w:after="120"/>
              <w:jc w:val="left"/>
              <w:rPr>
                <w:color w:val="000000"/>
                <w:sz w:val="20"/>
                <w:szCs w:val="20"/>
              </w:rPr>
            </w:pPr>
            <w:r>
              <w:rPr>
                <w:color w:val="000000"/>
                <w:sz w:val="20"/>
                <w:szCs w:val="20"/>
              </w:rPr>
              <w:t>Повністю капіталізовані витрати відповідають витратам, понесеним на придбання або розробку обладнання, і не допускається подвійне списання витрат.</w:t>
            </w:r>
          </w:p>
        </w:tc>
        <w:tc>
          <w:tcPr>
            <w:tcW w:w="1418" w:type="dxa"/>
            <w:gridSpan w:val="2"/>
            <w:shd w:val="clear" w:color="auto" w:fill="auto"/>
            <w:tcMar>
              <w:top w:w="0" w:type="dxa"/>
              <w:left w:w="108" w:type="dxa"/>
              <w:bottom w:w="0" w:type="dxa"/>
              <w:right w:w="108" w:type="dxa"/>
            </w:tcMar>
          </w:tcPr>
          <w:p w14:paraId="5E450A05"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03B94CB2" w14:textId="77777777">
        <w:trPr>
          <w:gridAfter w:val="2"/>
          <w:wAfter w:w="41" w:type="dxa"/>
        </w:trPr>
        <w:tc>
          <w:tcPr>
            <w:tcW w:w="1149" w:type="dxa"/>
            <w:vMerge/>
          </w:tcPr>
          <w:p w14:paraId="69F2A4B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1CA58B1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273" w:type="dxa"/>
            <w:vMerge/>
            <w:shd w:val="clear" w:color="auto" w:fill="auto"/>
            <w:tcMar>
              <w:top w:w="0" w:type="dxa"/>
              <w:left w:w="108" w:type="dxa"/>
              <w:bottom w:w="0" w:type="dxa"/>
              <w:right w:w="108" w:type="dxa"/>
            </w:tcMar>
          </w:tcPr>
          <w:p w14:paraId="15D6F62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gridSpan w:val="2"/>
            <w:shd w:val="clear" w:color="auto" w:fill="auto"/>
            <w:tcMar>
              <w:top w:w="0" w:type="dxa"/>
              <w:left w:w="108" w:type="dxa"/>
              <w:bottom w:w="0" w:type="dxa"/>
              <w:right w:w="108" w:type="dxa"/>
            </w:tcMar>
          </w:tcPr>
          <w:p w14:paraId="72AE4AD3"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Витрати на оренду або лізинг обладнання не перевищують амортизаційних витрат на аналогічне обладнання, не включають жодних комісій за фінансування та не допускають подвійного нарахування витрат.</w:t>
            </w:r>
          </w:p>
        </w:tc>
        <w:tc>
          <w:tcPr>
            <w:tcW w:w="1418" w:type="dxa"/>
            <w:gridSpan w:val="2"/>
            <w:shd w:val="clear" w:color="auto" w:fill="auto"/>
            <w:tcMar>
              <w:top w:w="0" w:type="dxa"/>
              <w:left w:w="108" w:type="dxa"/>
              <w:bottom w:w="0" w:type="dxa"/>
              <w:right w:w="108" w:type="dxa"/>
            </w:tcMar>
          </w:tcPr>
          <w:p w14:paraId="237968E1"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B4B7F11" w14:textId="77777777">
        <w:trPr>
          <w:gridAfter w:val="2"/>
          <w:wAfter w:w="41" w:type="dxa"/>
        </w:trPr>
        <w:tc>
          <w:tcPr>
            <w:tcW w:w="1149" w:type="dxa"/>
            <w:vMerge w:val="restart"/>
          </w:tcPr>
          <w:p w14:paraId="76BFEAAE" w14:textId="77777777" w:rsidR="004111A3" w:rsidRDefault="004111A3">
            <w:pPr>
              <w:spacing w:before="120" w:after="120"/>
              <w:rPr>
                <w:b/>
                <w:color w:val="000000"/>
                <w:sz w:val="20"/>
                <w:szCs w:val="20"/>
              </w:rPr>
            </w:pPr>
          </w:p>
        </w:tc>
        <w:tc>
          <w:tcPr>
            <w:tcW w:w="1134" w:type="dxa"/>
            <w:vMerge w:val="restart"/>
          </w:tcPr>
          <w:p w14:paraId="3B9B00E2" w14:textId="77777777" w:rsidR="004111A3" w:rsidRDefault="00A909B0">
            <w:pPr>
              <w:spacing w:before="120" w:after="120"/>
              <w:jc w:val="center"/>
              <w:rPr>
                <w:b/>
                <w:color w:val="000000"/>
                <w:sz w:val="20"/>
                <w:szCs w:val="20"/>
              </w:rPr>
            </w:pPr>
            <w:r>
              <w:rPr>
                <w:b/>
                <w:color w:val="000000"/>
                <w:sz w:val="20"/>
                <w:szCs w:val="20"/>
              </w:rPr>
              <w:t xml:space="preserve">C.2 Якщо повна вартість та амортизація для переліченого </w:t>
            </w:r>
            <w:r>
              <w:rPr>
                <w:b/>
                <w:color w:val="000000"/>
                <w:sz w:val="20"/>
                <w:szCs w:val="20"/>
              </w:rPr>
              <w:lastRenderedPageBreak/>
              <w:t>обладнання:</w:t>
            </w:r>
          </w:p>
          <w:p w14:paraId="447DB8B1" w14:textId="77777777" w:rsidR="004111A3" w:rsidRDefault="00A909B0">
            <w:pPr>
              <w:spacing w:before="120" w:after="120"/>
              <w:jc w:val="center"/>
              <w:rPr>
                <w:color w:val="7030A0"/>
                <w:sz w:val="20"/>
                <w:szCs w:val="20"/>
              </w:rPr>
            </w:pPr>
            <w:r>
              <w:rPr>
                <w:color w:val="7030A0"/>
                <w:sz w:val="20"/>
                <w:szCs w:val="20"/>
              </w:rPr>
              <w:t>(опція в HE, RFCS, EDF, LIFE, SMP, UCPM)</w:t>
            </w:r>
          </w:p>
        </w:tc>
        <w:tc>
          <w:tcPr>
            <w:tcW w:w="6273" w:type="dxa"/>
            <w:vMerge w:val="restart"/>
            <w:shd w:val="clear" w:color="auto" w:fill="auto"/>
            <w:tcMar>
              <w:top w:w="0" w:type="dxa"/>
              <w:left w:w="108" w:type="dxa"/>
              <w:bottom w:w="0" w:type="dxa"/>
              <w:right w:w="108" w:type="dxa"/>
            </w:tcMar>
          </w:tcPr>
          <w:p w14:paraId="262328EE" w14:textId="77777777" w:rsidR="004111A3" w:rsidRDefault="00A909B0">
            <w:pPr>
              <w:spacing w:before="120" w:after="120"/>
              <w:rPr>
                <w:b/>
                <w:i/>
                <w:color w:val="000000"/>
                <w:sz w:val="20"/>
                <w:szCs w:val="20"/>
              </w:rPr>
            </w:pPr>
            <w:r>
              <w:rPr>
                <w:b/>
                <w:i/>
                <w:color w:val="000000"/>
                <w:sz w:val="20"/>
                <w:szCs w:val="20"/>
              </w:rPr>
              <w:lastRenderedPageBreak/>
              <w:t>Для обладнання, що увійшло до вибірки:</w:t>
            </w:r>
          </w:p>
          <w:p w14:paraId="2DE60901" w14:textId="77777777" w:rsidR="004111A3" w:rsidRDefault="00A909B0">
            <w:pPr>
              <w:spacing w:before="120" w:after="120"/>
              <w:rPr>
                <w:color w:val="000000"/>
                <w:sz w:val="20"/>
                <w:szCs w:val="20"/>
              </w:rPr>
            </w:pPr>
            <w:r>
              <w:rPr>
                <w:color w:val="000000"/>
                <w:sz w:val="20"/>
                <w:szCs w:val="20"/>
              </w:rPr>
              <w:t>Виконується процедура, проаналізована вище в категорії витрат C.2 (тільки повна вартість).</w:t>
            </w:r>
          </w:p>
          <w:p w14:paraId="6CF43D55"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Однак, для обладнання, що використовується для проведення заходів, перелічених у ст. 6.C.2, витрати повинні бути задекларовані як витрати на амортизацію. Для цих активів фахівець-практик:</w:t>
            </w:r>
          </w:p>
          <w:p w14:paraId="70E1DB24"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lastRenderedPageBreak/>
              <w:t>перевірили, що вони перераховані згідно зі ст. 6.C.2 як обладнання, витрати на яке повинні бути задекларовані як амортизаційні витрати</w:t>
            </w:r>
          </w:p>
          <w:p w14:paraId="23A0D842"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виконали процедуру, проаналізовану вище в пункті C.2 (тільки амортизація).</w:t>
            </w:r>
          </w:p>
        </w:tc>
        <w:tc>
          <w:tcPr>
            <w:tcW w:w="4961" w:type="dxa"/>
            <w:gridSpan w:val="2"/>
            <w:shd w:val="clear" w:color="auto" w:fill="auto"/>
            <w:tcMar>
              <w:top w:w="0" w:type="dxa"/>
              <w:left w:w="108" w:type="dxa"/>
              <w:bottom w:w="0" w:type="dxa"/>
              <w:right w:w="108" w:type="dxa"/>
            </w:tcMar>
          </w:tcPr>
          <w:p w14:paraId="6C953045" w14:textId="77777777" w:rsidR="004111A3" w:rsidRDefault="00A909B0">
            <w:pPr>
              <w:numPr>
                <w:ilvl w:val="0"/>
                <w:numId w:val="3"/>
              </w:numPr>
              <w:spacing w:before="120" w:after="120"/>
              <w:jc w:val="left"/>
              <w:rPr>
                <w:color w:val="000000"/>
                <w:sz w:val="20"/>
                <w:szCs w:val="20"/>
              </w:rPr>
            </w:pPr>
            <w:r>
              <w:rPr>
                <w:color w:val="000000"/>
                <w:sz w:val="20"/>
                <w:szCs w:val="20"/>
              </w:rPr>
              <w:lastRenderedPageBreak/>
              <w:t>Для витрат, задекларованих як повні капіталізовані витрати, виконуються стандартні висновки за категорією витрат C.2 (тільки повні витрати).</w:t>
            </w:r>
          </w:p>
        </w:tc>
        <w:tc>
          <w:tcPr>
            <w:tcW w:w="1418" w:type="dxa"/>
            <w:gridSpan w:val="2"/>
            <w:shd w:val="clear" w:color="auto" w:fill="auto"/>
            <w:tcMar>
              <w:top w:w="0" w:type="dxa"/>
              <w:left w:w="108" w:type="dxa"/>
              <w:bottom w:w="0" w:type="dxa"/>
              <w:right w:w="108" w:type="dxa"/>
            </w:tcMar>
          </w:tcPr>
          <w:p w14:paraId="3269AE2B"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171887FB" w14:textId="77777777">
        <w:trPr>
          <w:gridAfter w:val="2"/>
          <w:wAfter w:w="41" w:type="dxa"/>
        </w:trPr>
        <w:tc>
          <w:tcPr>
            <w:tcW w:w="1149" w:type="dxa"/>
            <w:vMerge/>
          </w:tcPr>
          <w:p w14:paraId="3A5661AE"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34" w:type="dxa"/>
            <w:vMerge/>
          </w:tcPr>
          <w:p w14:paraId="1EEE1406"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273" w:type="dxa"/>
            <w:vMerge/>
            <w:shd w:val="clear" w:color="auto" w:fill="auto"/>
            <w:tcMar>
              <w:top w:w="0" w:type="dxa"/>
              <w:left w:w="108" w:type="dxa"/>
              <w:bottom w:w="0" w:type="dxa"/>
              <w:right w:w="108" w:type="dxa"/>
            </w:tcMar>
          </w:tcPr>
          <w:p w14:paraId="2E82EC6B"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gridSpan w:val="2"/>
            <w:shd w:val="clear" w:color="auto" w:fill="auto"/>
            <w:tcMar>
              <w:top w:w="0" w:type="dxa"/>
              <w:left w:w="108" w:type="dxa"/>
              <w:bottom w:w="0" w:type="dxa"/>
              <w:right w:w="108" w:type="dxa"/>
            </w:tcMar>
          </w:tcPr>
          <w:p w14:paraId="6FB48E39" w14:textId="77777777" w:rsidR="004111A3" w:rsidRDefault="00A909B0">
            <w:pPr>
              <w:numPr>
                <w:ilvl w:val="0"/>
                <w:numId w:val="3"/>
              </w:numPr>
              <w:spacing w:before="120" w:after="120"/>
              <w:jc w:val="left"/>
              <w:rPr>
                <w:color w:val="000000"/>
                <w:sz w:val="20"/>
                <w:szCs w:val="20"/>
              </w:rPr>
            </w:pPr>
            <w:r>
              <w:rPr>
                <w:color w:val="000000"/>
                <w:sz w:val="20"/>
                <w:szCs w:val="20"/>
              </w:rPr>
              <w:t>Витрати на обладнання, перераховані в пункті 6.C.2. 6.C.2 були задекларовані як амортизаційні витрати.</w:t>
            </w:r>
          </w:p>
        </w:tc>
        <w:tc>
          <w:tcPr>
            <w:tcW w:w="1418" w:type="dxa"/>
            <w:gridSpan w:val="2"/>
            <w:shd w:val="clear" w:color="auto" w:fill="auto"/>
            <w:tcMar>
              <w:top w:w="0" w:type="dxa"/>
              <w:left w:w="108" w:type="dxa"/>
              <w:bottom w:w="0" w:type="dxa"/>
              <w:right w:w="108" w:type="dxa"/>
            </w:tcMar>
          </w:tcPr>
          <w:p w14:paraId="7CC11A3D"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1A8C6C95" w14:textId="77777777">
        <w:trPr>
          <w:gridAfter w:val="2"/>
          <w:wAfter w:w="41" w:type="dxa"/>
        </w:trPr>
        <w:tc>
          <w:tcPr>
            <w:tcW w:w="1149" w:type="dxa"/>
            <w:vMerge/>
          </w:tcPr>
          <w:p w14:paraId="2325585D"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134" w:type="dxa"/>
            <w:vMerge/>
          </w:tcPr>
          <w:p w14:paraId="6ABBB9C1"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273" w:type="dxa"/>
            <w:vMerge/>
            <w:shd w:val="clear" w:color="auto" w:fill="auto"/>
            <w:tcMar>
              <w:top w:w="0" w:type="dxa"/>
              <w:left w:w="108" w:type="dxa"/>
              <w:bottom w:w="0" w:type="dxa"/>
              <w:right w:w="108" w:type="dxa"/>
            </w:tcMar>
          </w:tcPr>
          <w:p w14:paraId="3ED21660"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gridSpan w:val="2"/>
            <w:shd w:val="clear" w:color="auto" w:fill="auto"/>
            <w:tcMar>
              <w:top w:w="0" w:type="dxa"/>
              <w:left w:w="108" w:type="dxa"/>
              <w:bottom w:w="0" w:type="dxa"/>
              <w:right w:w="108" w:type="dxa"/>
            </w:tcMar>
          </w:tcPr>
          <w:p w14:paraId="1CB144FB" w14:textId="77777777" w:rsidR="004111A3" w:rsidRDefault="00A909B0">
            <w:pPr>
              <w:numPr>
                <w:ilvl w:val="0"/>
                <w:numId w:val="3"/>
              </w:numPr>
              <w:spacing w:before="120" w:after="120"/>
              <w:jc w:val="left"/>
              <w:rPr>
                <w:color w:val="000000"/>
                <w:sz w:val="20"/>
                <w:szCs w:val="20"/>
              </w:rPr>
            </w:pPr>
            <w:r>
              <w:rPr>
                <w:color w:val="000000"/>
                <w:sz w:val="20"/>
                <w:szCs w:val="20"/>
              </w:rPr>
              <w:t>Для витрат, задекларованих як амортизаційні витрати, виконуються стандартні висновки за категорією витрат C.2 (тільки амортизація).</w:t>
            </w:r>
          </w:p>
        </w:tc>
        <w:tc>
          <w:tcPr>
            <w:tcW w:w="1418" w:type="dxa"/>
            <w:gridSpan w:val="2"/>
            <w:shd w:val="clear" w:color="auto" w:fill="auto"/>
            <w:tcMar>
              <w:top w:w="0" w:type="dxa"/>
              <w:left w:w="108" w:type="dxa"/>
              <w:bottom w:w="0" w:type="dxa"/>
              <w:right w:w="108" w:type="dxa"/>
            </w:tcMar>
          </w:tcPr>
          <w:p w14:paraId="57B01E6F" w14:textId="77777777" w:rsidR="004111A3" w:rsidRDefault="00A909B0">
            <w:pPr>
              <w:spacing w:before="120" w:after="120"/>
              <w:jc w:val="center"/>
              <w:rPr>
                <w:color w:val="000000"/>
                <w:sz w:val="20"/>
                <w:szCs w:val="20"/>
                <w:highlight w:val="yellow"/>
              </w:rPr>
            </w:pPr>
            <w:r>
              <w:rPr>
                <w:color w:val="000000"/>
                <w:sz w:val="20"/>
                <w:szCs w:val="20"/>
              </w:rPr>
              <w:t>ТАК / НІ / Н.З.</w:t>
            </w:r>
          </w:p>
        </w:tc>
      </w:tr>
    </w:tbl>
    <w:p w14:paraId="182E44F5" w14:textId="77777777" w:rsidR="004111A3" w:rsidRDefault="004111A3"/>
    <w:p w14:paraId="421820A7" w14:textId="77777777" w:rsidR="004111A3" w:rsidRDefault="00A909B0">
      <w:pPr>
        <w:pStyle w:val="30"/>
        <w:rPr>
          <w:rFonts w:ascii="Times New Roman" w:eastAsia="Times New Roman" w:hAnsi="Times New Roman" w:cs="Times New Roman"/>
          <w:highlight w:val="yellow"/>
        </w:rPr>
      </w:pPr>
      <w:r>
        <w:rPr>
          <w:rFonts w:ascii="Times New Roman" w:eastAsia="Times New Roman" w:hAnsi="Times New Roman" w:cs="Times New Roman"/>
        </w:rPr>
        <w:t>Інші товари, роботи та послуги (C.3)</w:t>
      </w:r>
    </w:p>
    <w:tbl>
      <w:tblPr>
        <w:tblStyle w:val="afff3"/>
        <w:tblW w:w="15084"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099"/>
        <w:gridCol w:w="1043"/>
        <w:gridCol w:w="6052"/>
        <w:gridCol w:w="5562"/>
        <w:gridCol w:w="1328"/>
      </w:tblGrid>
      <w:tr w:rsidR="004111A3" w14:paraId="2C044947" w14:textId="77777777">
        <w:trPr>
          <w:tblHeader/>
        </w:trPr>
        <w:tc>
          <w:tcPr>
            <w:tcW w:w="15084" w:type="dxa"/>
            <w:gridSpan w:val="5"/>
            <w:shd w:val="clear" w:color="auto" w:fill="EBF1DD"/>
          </w:tcPr>
          <w:p w14:paraId="32A9829B" w14:textId="77777777" w:rsidR="004111A3" w:rsidRDefault="00A909B0">
            <w:pPr>
              <w:spacing w:before="120" w:after="120"/>
              <w:ind w:left="142"/>
              <w:rPr>
                <w:b/>
                <w:color w:val="000000"/>
                <w:sz w:val="20"/>
                <w:szCs w:val="20"/>
              </w:rPr>
            </w:pPr>
            <w:r>
              <w:rPr>
                <w:b/>
                <w:color w:val="FF0000"/>
              </w:rPr>
              <w:t>ПОГОДЖЕНІ CFS ПРОЦЕДУРИ - Інші товари, роботи та послуги (C.3)</w:t>
            </w:r>
          </w:p>
        </w:tc>
      </w:tr>
      <w:tr w:rsidR="004111A3" w14:paraId="646D6885" w14:textId="77777777">
        <w:trPr>
          <w:tblHeader/>
        </w:trPr>
        <w:tc>
          <w:tcPr>
            <w:tcW w:w="1099" w:type="dxa"/>
            <w:shd w:val="clear" w:color="auto" w:fill="EBF1DD"/>
          </w:tcPr>
          <w:p w14:paraId="3B7C01E2"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043" w:type="dxa"/>
            <w:shd w:val="clear" w:color="auto" w:fill="EBF1DD"/>
            <w:vAlign w:val="center"/>
          </w:tcPr>
          <w:p w14:paraId="1F6113D2"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052" w:type="dxa"/>
            <w:shd w:val="clear" w:color="auto" w:fill="EBF1DD"/>
            <w:tcMar>
              <w:top w:w="0" w:type="dxa"/>
              <w:left w:w="108" w:type="dxa"/>
              <w:bottom w:w="0" w:type="dxa"/>
              <w:right w:w="108" w:type="dxa"/>
            </w:tcMar>
            <w:vAlign w:val="center"/>
          </w:tcPr>
          <w:p w14:paraId="6A421529" w14:textId="77777777" w:rsidR="004111A3" w:rsidRDefault="00A909B0">
            <w:pPr>
              <w:spacing w:before="120" w:after="120"/>
              <w:jc w:val="center"/>
              <w:rPr>
                <w:b/>
                <w:color w:val="000000"/>
                <w:sz w:val="20"/>
                <w:szCs w:val="20"/>
              </w:rPr>
            </w:pPr>
            <w:r>
              <w:rPr>
                <w:b/>
                <w:color w:val="000000"/>
                <w:sz w:val="20"/>
                <w:szCs w:val="20"/>
              </w:rPr>
              <w:t>Процедури</w:t>
            </w:r>
          </w:p>
        </w:tc>
        <w:tc>
          <w:tcPr>
            <w:tcW w:w="5562" w:type="dxa"/>
            <w:shd w:val="clear" w:color="auto" w:fill="EBF1DD"/>
            <w:tcMar>
              <w:top w:w="0" w:type="dxa"/>
              <w:left w:w="108" w:type="dxa"/>
              <w:bottom w:w="0" w:type="dxa"/>
              <w:right w:w="108" w:type="dxa"/>
            </w:tcMar>
            <w:vAlign w:val="center"/>
          </w:tcPr>
          <w:p w14:paraId="0432B6BE"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328" w:type="dxa"/>
            <w:shd w:val="clear" w:color="auto" w:fill="EBF1DD"/>
            <w:tcMar>
              <w:top w:w="0" w:type="dxa"/>
              <w:left w:w="108" w:type="dxa"/>
              <w:bottom w:w="0" w:type="dxa"/>
              <w:right w:w="108" w:type="dxa"/>
            </w:tcMar>
            <w:vAlign w:val="center"/>
          </w:tcPr>
          <w:p w14:paraId="28993944" w14:textId="77777777" w:rsidR="004111A3" w:rsidRDefault="00A909B0">
            <w:pPr>
              <w:spacing w:before="120" w:after="120"/>
              <w:jc w:val="center"/>
              <w:rPr>
                <w:b/>
                <w:color w:val="000000"/>
                <w:sz w:val="20"/>
                <w:szCs w:val="20"/>
              </w:rPr>
            </w:pPr>
            <w:r>
              <w:rPr>
                <w:b/>
                <w:color w:val="000000"/>
                <w:sz w:val="20"/>
                <w:szCs w:val="20"/>
              </w:rPr>
              <w:t>Результат</w:t>
            </w:r>
          </w:p>
          <w:p w14:paraId="1936BFEB" w14:textId="77777777" w:rsidR="004111A3" w:rsidRDefault="00A909B0">
            <w:pPr>
              <w:spacing w:before="120" w:after="120"/>
              <w:jc w:val="center"/>
              <w:rPr>
                <w:b/>
                <w:color w:val="000000"/>
                <w:sz w:val="20"/>
                <w:szCs w:val="20"/>
              </w:rPr>
            </w:pPr>
            <w:r>
              <w:rPr>
                <w:b/>
                <w:color w:val="000000"/>
                <w:sz w:val="20"/>
                <w:szCs w:val="20"/>
              </w:rPr>
              <w:t>("ТАК" / "НІ" / "Н.З.")</w:t>
            </w:r>
          </w:p>
        </w:tc>
      </w:tr>
      <w:tr w:rsidR="004111A3" w14:paraId="4F2EAB38" w14:textId="77777777">
        <w:tc>
          <w:tcPr>
            <w:tcW w:w="1099" w:type="dxa"/>
            <w:shd w:val="clear" w:color="auto" w:fill="EBF1DD"/>
          </w:tcPr>
          <w:p w14:paraId="544FA177" w14:textId="77777777" w:rsidR="004111A3" w:rsidRDefault="00A909B0">
            <w:pPr>
              <w:spacing w:before="120" w:after="120"/>
              <w:jc w:val="center"/>
              <w:rPr>
                <w:b/>
                <w:color w:val="000000"/>
                <w:sz w:val="20"/>
                <w:szCs w:val="20"/>
              </w:rPr>
            </w:pPr>
            <w:r>
              <w:rPr>
                <w:b/>
                <w:color w:val="000000"/>
                <w:sz w:val="20"/>
                <w:szCs w:val="20"/>
              </w:rPr>
              <w:t>Стаття 6.2.C.3</w:t>
            </w:r>
          </w:p>
        </w:tc>
        <w:tc>
          <w:tcPr>
            <w:tcW w:w="1043" w:type="dxa"/>
            <w:shd w:val="clear" w:color="auto" w:fill="EBF1DD"/>
          </w:tcPr>
          <w:p w14:paraId="0DF22255" w14:textId="77777777" w:rsidR="004111A3" w:rsidRDefault="00A909B0">
            <w:pPr>
              <w:spacing w:before="240" w:after="240"/>
              <w:jc w:val="center"/>
              <w:rPr>
                <w:b/>
                <w:color w:val="000000"/>
                <w:sz w:val="20"/>
                <w:szCs w:val="20"/>
              </w:rPr>
            </w:pPr>
            <w:r>
              <w:rPr>
                <w:b/>
                <w:color w:val="000000"/>
                <w:sz w:val="20"/>
                <w:szCs w:val="20"/>
              </w:rPr>
              <w:t>C.3</w:t>
            </w:r>
          </w:p>
        </w:tc>
        <w:tc>
          <w:tcPr>
            <w:tcW w:w="12942" w:type="dxa"/>
            <w:gridSpan w:val="3"/>
            <w:shd w:val="clear" w:color="auto" w:fill="EBF1DD"/>
            <w:tcMar>
              <w:top w:w="0" w:type="dxa"/>
              <w:left w:w="108" w:type="dxa"/>
              <w:bottom w:w="0" w:type="dxa"/>
              <w:right w:w="108" w:type="dxa"/>
            </w:tcMar>
            <w:vAlign w:val="center"/>
          </w:tcPr>
          <w:p w14:paraId="1D1BD107" w14:textId="77777777" w:rsidR="004111A3" w:rsidRDefault="00A909B0">
            <w:pPr>
              <w:spacing w:before="240" w:after="240"/>
              <w:jc w:val="left"/>
              <w:rPr>
                <w:b/>
                <w:color w:val="000000"/>
                <w:sz w:val="20"/>
                <w:szCs w:val="20"/>
                <w:highlight w:val="yellow"/>
              </w:rPr>
            </w:pPr>
            <w:r>
              <w:rPr>
                <w:b/>
                <w:color w:val="000000"/>
                <w:sz w:val="20"/>
                <w:szCs w:val="20"/>
              </w:rPr>
              <w:t>ІНШІ ТОВАРИ, РОБОТИ ТА ПОСЛУГИ</w:t>
            </w:r>
          </w:p>
        </w:tc>
      </w:tr>
      <w:tr w:rsidR="004111A3" w14:paraId="299CFA07" w14:textId="77777777">
        <w:tc>
          <w:tcPr>
            <w:tcW w:w="1099" w:type="dxa"/>
            <w:vMerge w:val="restart"/>
          </w:tcPr>
          <w:p w14:paraId="4C6B6D97" w14:textId="77777777" w:rsidR="004111A3" w:rsidRDefault="00A909B0">
            <w:pPr>
              <w:spacing w:before="120" w:after="120"/>
              <w:jc w:val="center"/>
              <w:rPr>
                <w:b/>
                <w:color w:val="000000"/>
                <w:sz w:val="20"/>
                <w:szCs w:val="20"/>
              </w:rPr>
            </w:pPr>
            <w:r>
              <w:rPr>
                <w:b/>
                <w:color w:val="000000"/>
                <w:sz w:val="20"/>
                <w:szCs w:val="20"/>
              </w:rPr>
              <w:t>Стаття 6.2.C.3</w:t>
            </w:r>
          </w:p>
        </w:tc>
        <w:tc>
          <w:tcPr>
            <w:tcW w:w="1043" w:type="dxa"/>
            <w:vMerge w:val="restart"/>
          </w:tcPr>
          <w:p w14:paraId="5058296C" w14:textId="77777777" w:rsidR="004111A3" w:rsidRDefault="00A909B0">
            <w:pPr>
              <w:spacing w:before="120" w:after="120"/>
              <w:jc w:val="center"/>
              <w:rPr>
                <w:b/>
                <w:color w:val="000000"/>
                <w:sz w:val="20"/>
                <w:szCs w:val="20"/>
              </w:rPr>
            </w:pPr>
            <w:r>
              <w:rPr>
                <w:b/>
                <w:color w:val="000000"/>
                <w:sz w:val="20"/>
                <w:szCs w:val="20"/>
              </w:rPr>
              <w:t>C.3 ІНШІ ТОВАРИ, РОБОТИ ТА ПОСЛУГИ</w:t>
            </w:r>
          </w:p>
        </w:tc>
        <w:tc>
          <w:tcPr>
            <w:tcW w:w="6052" w:type="dxa"/>
            <w:shd w:val="clear" w:color="auto" w:fill="auto"/>
            <w:tcMar>
              <w:top w:w="0" w:type="dxa"/>
              <w:left w:w="108" w:type="dxa"/>
              <w:bottom w:w="0" w:type="dxa"/>
              <w:right w:w="108" w:type="dxa"/>
            </w:tcMar>
          </w:tcPr>
          <w:p w14:paraId="6139FFD4" w14:textId="77777777" w:rsidR="004111A3" w:rsidRDefault="00A909B0">
            <w:pPr>
              <w:spacing w:before="120" w:after="120"/>
              <w:jc w:val="left"/>
              <w:rPr>
                <w:b/>
                <w:i/>
                <w:sz w:val="20"/>
                <w:szCs w:val="20"/>
              </w:rPr>
            </w:pPr>
            <w:r>
              <w:rPr>
                <w:b/>
                <w:i/>
                <w:sz w:val="20"/>
                <w:szCs w:val="20"/>
              </w:rPr>
              <w:t>Спеціаліст формує вибірку для проведення процедур за цією категорією витрат. Вибірка повинна бути відібрана випадковим чином. Вона повинна охоплювати 10% всіх позицій, за якими були задекларовані витрати, з мінімальною вибіркою в 10 позицій (або всі, якщо було задекларовано менше 10 позицій).</w:t>
            </w:r>
          </w:p>
          <w:p w14:paraId="091861ED" w14:textId="77777777" w:rsidR="004111A3" w:rsidRDefault="00A909B0">
            <w:pPr>
              <w:spacing w:before="120" w:after="120"/>
              <w:jc w:val="left"/>
              <w:rPr>
                <w:color w:val="000000"/>
                <w:sz w:val="20"/>
                <w:szCs w:val="20"/>
              </w:rPr>
            </w:pPr>
            <w:r>
              <w:rPr>
                <w:color w:val="000000"/>
                <w:sz w:val="20"/>
                <w:szCs w:val="20"/>
              </w:rPr>
              <w:t xml:space="preserve">Практикуючий зробив вибірку </w:t>
            </w:r>
            <w:r>
              <w:rPr>
                <w:color w:val="000000"/>
                <w:sz w:val="20"/>
                <w:szCs w:val="20"/>
                <w:highlight w:val="lightGray"/>
              </w:rPr>
              <w:t>_____</w:t>
            </w:r>
            <w:r>
              <w:rPr>
                <w:color w:val="000000"/>
                <w:sz w:val="20"/>
                <w:szCs w:val="20"/>
              </w:rPr>
              <w:t xml:space="preserve">  із загальної кількості </w:t>
            </w:r>
            <w:r>
              <w:rPr>
                <w:color w:val="000000"/>
                <w:sz w:val="20"/>
                <w:szCs w:val="20"/>
                <w:highlight w:val="lightGray"/>
              </w:rPr>
              <w:t>_____</w:t>
            </w:r>
            <w:r>
              <w:rPr>
                <w:color w:val="000000"/>
                <w:sz w:val="20"/>
                <w:szCs w:val="20"/>
              </w:rPr>
              <w:t>.</w:t>
            </w:r>
          </w:p>
        </w:tc>
        <w:tc>
          <w:tcPr>
            <w:tcW w:w="6890" w:type="dxa"/>
            <w:gridSpan w:val="2"/>
            <w:shd w:val="clear" w:color="auto" w:fill="F2F2F2"/>
            <w:tcMar>
              <w:top w:w="0" w:type="dxa"/>
              <w:left w:w="108" w:type="dxa"/>
              <w:bottom w:w="0" w:type="dxa"/>
              <w:right w:w="108" w:type="dxa"/>
            </w:tcMar>
          </w:tcPr>
          <w:p w14:paraId="077188E2" w14:textId="77777777" w:rsidR="004111A3" w:rsidRDefault="004111A3">
            <w:pPr>
              <w:spacing w:before="120" w:after="120"/>
              <w:jc w:val="left"/>
              <w:rPr>
                <w:color w:val="000000"/>
                <w:sz w:val="20"/>
                <w:szCs w:val="20"/>
              </w:rPr>
            </w:pPr>
          </w:p>
        </w:tc>
      </w:tr>
      <w:tr w:rsidR="004111A3" w14:paraId="77BCF934" w14:textId="77777777">
        <w:tc>
          <w:tcPr>
            <w:tcW w:w="1099" w:type="dxa"/>
            <w:vMerge/>
          </w:tcPr>
          <w:p w14:paraId="0630B3A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3" w:type="dxa"/>
            <w:vMerge/>
          </w:tcPr>
          <w:p w14:paraId="1569416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052" w:type="dxa"/>
            <w:vMerge w:val="restart"/>
            <w:shd w:val="clear" w:color="auto" w:fill="auto"/>
            <w:tcMar>
              <w:top w:w="0" w:type="dxa"/>
              <w:left w:w="108" w:type="dxa"/>
              <w:bottom w:w="0" w:type="dxa"/>
              <w:right w:w="108" w:type="dxa"/>
            </w:tcMar>
          </w:tcPr>
          <w:p w14:paraId="01FF9CB6" w14:textId="77777777" w:rsidR="004111A3" w:rsidRDefault="00A909B0">
            <w:pPr>
              <w:spacing w:before="120" w:after="120"/>
              <w:jc w:val="left"/>
              <w:rPr>
                <w:b/>
                <w:i/>
                <w:color w:val="000000"/>
                <w:sz w:val="20"/>
                <w:szCs w:val="20"/>
              </w:rPr>
            </w:pPr>
            <w:r>
              <w:rPr>
                <w:b/>
                <w:i/>
                <w:color w:val="000000"/>
                <w:sz w:val="20"/>
                <w:szCs w:val="20"/>
              </w:rPr>
              <w:t xml:space="preserve">Для інших </w:t>
            </w:r>
            <w:proofErr w:type="spellStart"/>
            <w:r>
              <w:rPr>
                <w:b/>
                <w:i/>
                <w:color w:val="000000"/>
                <w:sz w:val="20"/>
                <w:szCs w:val="20"/>
              </w:rPr>
              <w:t>закупівель</w:t>
            </w:r>
            <w:proofErr w:type="spellEnd"/>
            <w:r>
              <w:rPr>
                <w:b/>
                <w:i/>
                <w:color w:val="000000"/>
                <w:sz w:val="20"/>
                <w:szCs w:val="20"/>
              </w:rPr>
              <w:t>, включених до вибірки:</w:t>
            </w:r>
          </w:p>
          <w:p w14:paraId="462BA8BD" w14:textId="77777777" w:rsidR="004111A3" w:rsidRDefault="00A909B0">
            <w:pPr>
              <w:spacing w:before="120" w:after="120"/>
              <w:jc w:val="left"/>
              <w:rPr>
                <w:color w:val="000000"/>
                <w:sz w:val="20"/>
                <w:szCs w:val="20"/>
              </w:rPr>
            </w:pPr>
            <w:r>
              <w:rPr>
                <w:color w:val="000000"/>
                <w:sz w:val="20"/>
                <w:szCs w:val="20"/>
              </w:rPr>
              <w:t>Спеціаліст здійснив загальну перевірку прийнятності та неприйнятності витрат (див. вище).</w:t>
            </w:r>
          </w:p>
          <w:p w14:paraId="13F54477" w14:textId="77777777" w:rsidR="004111A3" w:rsidRDefault="00A909B0">
            <w:pPr>
              <w:spacing w:before="120" w:after="120"/>
              <w:jc w:val="left"/>
              <w:rPr>
                <w:color w:val="000000"/>
                <w:sz w:val="20"/>
                <w:szCs w:val="20"/>
              </w:rPr>
            </w:pPr>
            <w:r>
              <w:rPr>
                <w:color w:val="000000"/>
                <w:sz w:val="20"/>
                <w:szCs w:val="20"/>
              </w:rPr>
              <w:lastRenderedPageBreak/>
              <w:t>Спеціаліст здійснив загальну перевірку прийнятності витрат на закупівлю (див. вище).</w:t>
            </w:r>
          </w:p>
          <w:p w14:paraId="43503FA1" w14:textId="77777777" w:rsidR="004111A3" w:rsidRDefault="00A909B0">
            <w:pPr>
              <w:spacing w:before="120" w:after="120"/>
              <w:jc w:val="left"/>
              <w:rPr>
                <w:color w:val="000000"/>
                <w:sz w:val="20"/>
                <w:szCs w:val="20"/>
              </w:rPr>
            </w:pPr>
            <w:r>
              <w:rPr>
                <w:color w:val="000000"/>
                <w:sz w:val="20"/>
                <w:szCs w:val="20"/>
              </w:rPr>
              <w:t>Закупівлі інших товарів, робіт і послуг для проекту повинні бути розраховані на основі фактично понесених витрат. Такі товари, роботи та послуги включають, наприклад, витратні матеріали, просування, розповсюдження, захист результатів, переклади, публікації, сертифікати та фінансові гарантії, якщо це передбачено Угодою.</w:t>
            </w:r>
          </w:p>
          <w:p w14:paraId="78A5D861" w14:textId="77777777" w:rsidR="004111A3" w:rsidRDefault="00A909B0">
            <w:pPr>
              <w:spacing w:before="120" w:after="120"/>
              <w:jc w:val="left"/>
              <w:rPr>
                <w:color w:val="000000"/>
                <w:sz w:val="20"/>
                <w:szCs w:val="20"/>
              </w:rPr>
            </w:pPr>
            <w:r>
              <w:rPr>
                <w:color w:val="000000"/>
                <w:sz w:val="20"/>
                <w:szCs w:val="20"/>
              </w:rPr>
              <w:t>Для підтвердження стандартних висновків у наступній колонці фахівець-практик перевірив що:</w:t>
            </w:r>
          </w:p>
          <w:p w14:paraId="0D6AF9B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закупівлі інших товарів, робіт та послуг були визнані прийнятними (як фактично понесені витрати) у Грантовій угоді</w:t>
            </w:r>
          </w:p>
          <w:p w14:paraId="5BFB0B0B"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контракти не охоплювали завдання, описані в Додатку 1 ГУ (вони мають бути віднесені до витрат на субпідряд)</w:t>
            </w:r>
          </w:p>
          <w:p w14:paraId="48E380DC"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товари, роботи або послуги були придбані спеціально для здійснення діяльності та були правильно розподілені на діяльність (з підтверджуючими документами, такими як накладна, рахунок-фактура або будь-яким іншим доказом, що демонструє зв'язок з діяльністю).</w:t>
            </w:r>
          </w:p>
          <w:p w14:paraId="5AD345EC"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фактичне існування відібраних предметів шляхом фізичного огляду.</w:t>
            </w:r>
          </w:p>
          <w:p w14:paraId="762E4BF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товари не були включені до складу запасів обладнання тривалого користування (інакше вони мали б бути списані як витрати на обладнання)</w:t>
            </w:r>
          </w:p>
          <w:p w14:paraId="69245B4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витрати, понесені на здійснення дій, були обліковані відповідно до звичайної бухгалтерської практики учасника. Якщо деякі з цих витрат (або всі) вважаються непрямими, </w:t>
            </w:r>
            <w:r>
              <w:rPr>
                <w:color w:val="000000"/>
                <w:sz w:val="20"/>
                <w:szCs w:val="20"/>
              </w:rPr>
              <w:lastRenderedPageBreak/>
              <w:t>вони не можуть бути задекларовані як прямі витрати, якщо це є звичайною бухгалтерською практикою учасника.</w:t>
            </w:r>
          </w:p>
        </w:tc>
        <w:tc>
          <w:tcPr>
            <w:tcW w:w="5562" w:type="dxa"/>
            <w:shd w:val="clear" w:color="auto" w:fill="auto"/>
            <w:tcMar>
              <w:top w:w="0" w:type="dxa"/>
              <w:left w:w="108" w:type="dxa"/>
              <w:bottom w:w="0" w:type="dxa"/>
              <w:right w:w="108" w:type="dxa"/>
            </w:tcMar>
          </w:tcPr>
          <w:p w14:paraId="32CDAC73" w14:textId="77777777" w:rsidR="004111A3" w:rsidRDefault="00A909B0">
            <w:pPr>
              <w:numPr>
                <w:ilvl w:val="0"/>
                <w:numId w:val="3"/>
              </w:numPr>
              <w:spacing w:before="120" w:after="120"/>
              <w:jc w:val="left"/>
              <w:rPr>
                <w:color w:val="000000"/>
                <w:sz w:val="20"/>
                <w:szCs w:val="20"/>
              </w:rPr>
            </w:pPr>
            <w:r>
              <w:rPr>
                <w:color w:val="000000"/>
                <w:sz w:val="20"/>
                <w:szCs w:val="20"/>
              </w:rPr>
              <w:lastRenderedPageBreak/>
              <w:t xml:space="preserve">Витрати були прийнятними (без неприйнятних компонентів), ідентифікованими та перевіреними, пов'язаними з проектом та понесеними учасником (підтвердження оплати, відсутність повторного виставлення рахунків іншим організаціям) протягом </w:t>
            </w:r>
            <w:r>
              <w:rPr>
                <w:color w:val="000000"/>
                <w:sz w:val="20"/>
                <w:szCs w:val="20"/>
              </w:rPr>
              <w:lastRenderedPageBreak/>
              <w:t>терміну дії проекту відповідно до його звичайної практики обліку витрат.</w:t>
            </w:r>
          </w:p>
        </w:tc>
        <w:tc>
          <w:tcPr>
            <w:tcW w:w="1328" w:type="dxa"/>
            <w:shd w:val="clear" w:color="auto" w:fill="auto"/>
            <w:tcMar>
              <w:top w:w="0" w:type="dxa"/>
              <w:left w:w="108" w:type="dxa"/>
              <w:bottom w:w="0" w:type="dxa"/>
              <w:right w:w="108" w:type="dxa"/>
            </w:tcMar>
          </w:tcPr>
          <w:p w14:paraId="175D7778" w14:textId="77777777" w:rsidR="004111A3" w:rsidRDefault="00A909B0">
            <w:pPr>
              <w:spacing w:before="120" w:after="120"/>
              <w:jc w:val="center"/>
              <w:rPr>
                <w:color w:val="000000"/>
                <w:sz w:val="20"/>
                <w:szCs w:val="20"/>
                <w:highlight w:val="yellow"/>
              </w:rPr>
            </w:pPr>
            <w:r>
              <w:rPr>
                <w:color w:val="000000"/>
                <w:sz w:val="20"/>
                <w:szCs w:val="20"/>
              </w:rPr>
              <w:lastRenderedPageBreak/>
              <w:t>ТАК / НІ / Н.З.</w:t>
            </w:r>
          </w:p>
        </w:tc>
      </w:tr>
      <w:tr w:rsidR="004111A3" w14:paraId="6D2E2334" w14:textId="77777777">
        <w:tc>
          <w:tcPr>
            <w:tcW w:w="1099" w:type="dxa"/>
            <w:vMerge/>
          </w:tcPr>
          <w:p w14:paraId="27B12C17"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043" w:type="dxa"/>
            <w:vMerge/>
          </w:tcPr>
          <w:p w14:paraId="52F52CEB"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052" w:type="dxa"/>
            <w:vMerge/>
            <w:shd w:val="clear" w:color="auto" w:fill="auto"/>
            <w:tcMar>
              <w:top w:w="0" w:type="dxa"/>
              <w:left w:w="108" w:type="dxa"/>
              <w:bottom w:w="0" w:type="dxa"/>
              <w:right w:w="108" w:type="dxa"/>
            </w:tcMar>
          </w:tcPr>
          <w:p w14:paraId="22C926EA"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5562" w:type="dxa"/>
            <w:shd w:val="clear" w:color="auto" w:fill="auto"/>
            <w:tcMar>
              <w:top w:w="0" w:type="dxa"/>
              <w:left w:w="108" w:type="dxa"/>
              <w:bottom w:w="0" w:type="dxa"/>
              <w:right w:w="108" w:type="dxa"/>
            </w:tcMar>
          </w:tcPr>
          <w:p w14:paraId="19E695EF"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 xml:space="preserve">Закупівлі здійснювалися із застосуванням звичайної практики </w:t>
            </w:r>
            <w:proofErr w:type="spellStart"/>
            <w:r>
              <w:rPr>
                <w:color w:val="000000"/>
                <w:sz w:val="20"/>
                <w:szCs w:val="20"/>
              </w:rPr>
              <w:t>закупівель</w:t>
            </w:r>
            <w:proofErr w:type="spellEnd"/>
            <w:r>
              <w:rPr>
                <w:color w:val="000000"/>
                <w:sz w:val="20"/>
                <w:szCs w:val="20"/>
              </w:rPr>
              <w:t xml:space="preserve"> учасника та, за необхідності, інших документів/процедур, необхідних для дотримання вимог національного законодавства у сфері публічних </w:t>
            </w:r>
            <w:proofErr w:type="spellStart"/>
            <w:r>
              <w:rPr>
                <w:color w:val="000000"/>
                <w:sz w:val="20"/>
                <w:szCs w:val="20"/>
              </w:rPr>
              <w:t>закупівель</w:t>
            </w:r>
            <w:proofErr w:type="spellEnd"/>
            <w:r>
              <w:rPr>
                <w:color w:val="000000"/>
                <w:sz w:val="20"/>
                <w:szCs w:val="20"/>
              </w:rPr>
              <w:t>.</w:t>
            </w:r>
          </w:p>
        </w:tc>
        <w:tc>
          <w:tcPr>
            <w:tcW w:w="1328" w:type="dxa"/>
            <w:shd w:val="clear" w:color="auto" w:fill="auto"/>
            <w:tcMar>
              <w:top w:w="0" w:type="dxa"/>
              <w:left w:w="108" w:type="dxa"/>
              <w:bottom w:w="0" w:type="dxa"/>
              <w:right w:w="108" w:type="dxa"/>
            </w:tcMar>
          </w:tcPr>
          <w:p w14:paraId="3E12AAC5"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22B47DD9" w14:textId="77777777">
        <w:tc>
          <w:tcPr>
            <w:tcW w:w="1099" w:type="dxa"/>
            <w:vMerge/>
          </w:tcPr>
          <w:p w14:paraId="1E09615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3" w:type="dxa"/>
            <w:vMerge/>
          </w:tcPr>
          <w:p w14:paraId="68E87D0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052" w:type="dxa"/>
            <w:vMerge/>
            <w:shd w:val="clear" w:color="auto" w:fill="auto"/>
            <w:tcMar>
              <w:top w:w="0" w:type="dxa"/>
              <w:left w:w="108" w:type="dxa"/>
              <w:bottom w:w="0" w:type="dxa"/>
              <w:right w:w="108" w:type="dxa"/>
            </w:tcMar>
          </w:tcPr>
          <w:p w14:paraId="3A12673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5562" w:type="dxa"/>
            <w:shd w:val="clear" w:color="auto" w:fill="auto"/>
            <w:tcMar>
              <w:top w:w="0" w:type="dxa"/>
              <w:left w:w="108" w:type="dxa"/>
              <w:bottom w:w="0" w:type="dxa"/>
              <w:right w:w="108" w:type="dxa"/>
            </w:tcMar>
          </w:tcPr>
          <w:p w14:paraId="6F0F713D" w14:textId="77777777" w:rsidR="004111A3" w:rsidRDefault="00A909B0">
            <w:pPr>
              <w:numPr>
                <w:ilvl w:val="0"/>
                <w:numId w:val="3"/>
              </w:numPr>
              <w:pBdr>
                <w:top w:val="nil"/>
                <w:left w:val="nil"/>
                <w:bottom w:val="nil"/>
                <w:right w:val="nil"/>
                <w:between w:val="nil"/>
              </w:pBdr>
              <w:spacing w:before="120" w:after="120"/>
              <w:jc w:val="left"/>
              <w:rPr>
                <w:color w:val="000000"/>
                <w:sz w:val="20"/>
                <w:szCs w:val="20"/>
              </w:rPr>
            </w:pPr>
            <w:r>
              <w:rPr>
                <w:color w:val="000000"/>
                <w:sz w:val="20"/>
                <w:szCs w:val="20"/>
              </w:rPr>
              <w:t>Закупівлі здійснювалися за принципом найкращого співвідношення ціни та якості або за найнижчою ціною.</w:t>
            </w:r>
          </w:p>
        </w:tc>
        <w:tc>
          <w:tcPr>
            <w:tcW w:w="1328" w:type="dxa"/>
            <w:shd w:val="clear" w:color="auto" w:fill="auto"/>
            <w:tcMar>
              <w:top w:w="0" w:type="dxa"/>
              <w:left w:w="108" w:type="dxa"/>
              <w:bottom w:w="0" w:type="dxa"/>
              <w:right w:w="108" w:type="dxa"/>
            </w:tcMar>
          </w:tcPr>
          <w:p w14:paraId="3E782872"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69D1E4C" w14:textId="77777777">
        <w:tc>
          <w:tcPr>
            <w:tcW w:w="1099" w:type="dxa"/>
            <w:vMerge/>
          </w:tcPr>
          <w:p w14:paraId="014CBEE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3" w:type="dxa"/>
            <w:vMerge/>
          </w:tcPr>
          <w:p w14:paraId="7844924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052" w:type="dxa"/>
            <w:vMerge/>
            <w:shd w:val="clear" w:color="auto" w:fill="auto"/>
            <w:tcMar>
              <w:top w:w="0" w:type="dxa"/>
              <w:left w:w="108" w:type="dxa"/>
              <w:bottom w:w="0" w:type="dxa"/>
              <w:right w:w="108" w:type="dxa"/>
            </w:tcMar>
          </w:tcPr>
          <w:p w14:paraId="79ACE9B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5562" w:type="dxa"/>
            <w:shd w:val="clear" w:color="auto" w:fill="auto"/>
            <w:tcMar>
              <w:top w:w="0" w:type="dxa"/>
              <w:left w:w="108" w:type="dxa"/>
              <w:bottom w:w="0" w:type="dxa"/>
              <w:right w:w="108" w:type="dxa"/>
            </w:tcMar>
          </w:tcPr>
          <w:p w14:paraId="798EE5C6" w14:textId="77777777" w:rsidR="004111A3" w:rsidRDefault="00A909B0">
            <w:pPr>
              <w:numPr>
                <w:ilvl w:val="0"/>
                <w:numId w:val="3"/>
              </w:numPr>
              <w:spacing w:before="120" w:after="120"/>
              <w:jc w:val="left"/>
              <w:rPr>
                <w:color w:val="000000"/>
                <w:sz w:val="20"/>
                <w:szCs w:val="20"/>
              </w:rPr>
            </w:pPr>
            <w:r>
              <w:rPr>
                <w:color w:val="000000"/>
                <w:sz w:val="20"/>
                <w:szCs w:val="20"/>
              </w:rPr>
              <w:t>Учасник застосував процедури для забезпечення відсутності конфлікту інтересів, і за результатами нашої перевірки ми не виявили нічого, що могло б свідчити про потенційний конфлікт інтересів. Учасник надав необхідне письмове підтвердження.</w:t>
            </w:r>
          </w:p>
        </w:tc>
        <w:tc>
          <w:tcPr>
            <w:tcW w:w="1328" w:type="dxa"/>
            <w:shd w:val="clear" w:color="auto" w:fill="auto"/>
            <w:tcMar>
              <w:top w:w="0" w:type="dxa"/>
              <w:left w:w="108" w:type="dxa"/>
              <w:bottom w:w="0" w:type="dxa"/>
              <w:right w:w="108" w:type="dxa"/>
            </w:tcMar>
          </w:tcPr>
          <w:p w14:paraId="7A11C41A"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38AC35F1" w14:textId="77777777">
        <w:tc>
          <w:tcPr>
            <w:tcW w:w="1099" w:type="dxa"/>
            <w:vMerge/>
          </w:tcPr>
          <w:p w14:paraId="249FFF0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3" w:type="dxa"/>
            <w:vMerge/>
          </w:tcPr>
          <w:p w14:paraId="2907C34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052" w:type="dxa"/>
            <w:vMerge/>
            <w:shd w:val="clear" w:color="auto" w:fill="auto"/>
            <w:tcMar>
              <w:top w:w="0" w:type="dxa"/>
              <w:left w:w="108" w:type="dxa"/>
              <w:bottom w:w="0" w:type="dxa"/>
              <w:right w:w="108" w:type="dxa"/>
            </w:tcMar>
          </w:tcPr>
          <w:p w14:paraId="29DC424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5562" w:type="dxa"/>
            <w:shd w:val="clear" w:color="auto" w:fill="auto"/>
            <w:tcMar>
              <w:top w:w="0" w:type="dxa"/>
              <w:left w:w="108" w:type="dxa"/>
              <w:bottom w:w="0" w:type="dxa"/>
              <w:right w:w="108" w:type="dxa"/>
            </w:tcMar>
          </w:tcPr>
          <w:p w14:paraId="01E8824E"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Контракти на виконання робіт або надання послуг не охоплювали завдання, описані в Додатку 1 ГУ.</w:t>
            </w:r>
          </w:p>
        </w:tc>
        <w:tc>
          <w:tcPr>
            <w:tcW w:w="1328" w:type="dxa"/>
            <w:shd w:val="clear" w:color="auto" w:fill="auto"/>
            <w:tcMar>
              <w:top w:w="0" w:type="dxa"/>
              <w:left w:w="108" w:type="dxa"/>
              <w:bottom w:w="0" w:type="dxa"/>
              <w:right w:w="108" w:type="dxa"/>
            </w:tcMar>
          </w:tcPr>
          <w:p w14:paraId="4FDBA741"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2900A80F" w14:textId="77777777">
        <w:tc>
          <w:tcPr>
            <w:tcW w:w="1099" w:type="dxa"/>
            <w:vMerge/>
          </w:tcPr>
          <w:p w14:paraId="419E3A6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3" w:type="dxa"/>
            <w:vMerge/>
          </w:tcPr>
          <w:p w14:paraId="6E33C28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052" w:type="dxa"/>
            <w:vMerge/>
            <w:shd w:val="clear" w:color="auto" w:fill="auto"/>
            <w:tcMar>
              <w:top w:w="0" w:type="dxa"/>
              <w:left w:w="108" w:type="dxa"/>
              <w:bottom w:w="0" w:type="dxa"/>
              <w:right w:w="108" w:type="dxa"/>
            </w:tcMar>
          </w:tcPr>
          <w:p w14:paraId="52B9D27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5562" w:type="dxa"/>
            <w:shd w:val="clear" w:color="auto" w:fill="auto"/>
            <w:tcMar>
              <w:top w:w="0" w:type="dxa"/>
              <w:left w:w="108" w:type="dxa"/>
              <w:bottom w:w="0" w:type="dxa"/>
              <w:right w:w="108" w:type="dxa"/>
            </w:tcMar>
          </w:tcPr>
          <w:p w14:paraId="3DCAEB07"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Витрати були віднесені на правильну дію, а товар не був зарахований до запасів обладнання тривалого користування.</w:t>
            </w:r>
          </w:p>
        </w:tc>
        <w:tc>
          <w:tcPr>
            <w:tcW w:w="1328" w:type="dxa"/>
            <w:shd w:val="clear" w:color="auto" w:fill="auto"/>
            <w:tcMar>
              <w:top w:w="0" w:type="dxa"/>
              <w:left w:w="108" w:type="dxa"/>
              <w:bottom w:w="0" w:type="dxa"/>
              <w:right w:w="108" w:type="dxa"/>
            </w:tcMar>
          </w:tcPr>
          <w:p w14:paraId="2CA74B4E"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2EEB5951" w14:textId="77777777">
        <w:tc>
          <w:tcPr>
            <w:tcW w:w="1099" w:type="dxa"/>
            <w:vMerge/>
          </w:tcPr>
          <w:p w14:paraId="193C0E2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3" w:type="dxa"/>
            <w:vMerge/>
          </w:tcPr>
          <w:p w14:paraId="2FF8E68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052" w:type="dxa"/>
            <w:vMerge/>
            <w:shd w:val="clear" w:color="auto" w:fill="auto"/>
            <w:tcMar>
              <w:top w:w="0" w:type="dxa"/>
              <w:left w:w="108" w:type="dxa"/>
              <w:bottom w:w="0" w:type="dxa"/>
              <w:right w:w="108" w:type="dxa"/>
            </w:tcMar>
          </w:tcPr>
          <w:p w14:paraId="7AB0D7D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5562" w:type="dxa"/>
            <w:shd w:val="clear" w:color="auto" w:fill="auto"/>
            <w:tcMar>
              <w:top w:w="0" w:type="dxa"/>
              <w:left w:w="108" w:type="dxa"/>
              <w:bottom w:w="0" w:type="dxa"/>
              <w:right w:w="108" w:type="dxa"/>
            </w:tcMar>
          </w:tcPr>
          <w:p w14:paraId="6D55CE56" w14:textId="77777777" w:rsidR="004111A3" w:rsidRDefault="00A909B0">
            <w:pPr>
              <w:numPr>
                <w:ilvl w:val="0"/>
                <w:numId w:val="3"/>
              </w:numPr>
              <w:spacing w:before="120" w:after="120"/>
              <w:ind w:left="391" w:hanging="391"/>
              <w:jc w:val="left"/>
              <w:rPr>
                <w:sz w:val="20"/>
                <w:szCs w:val="20"/>
              </w:rPr>
            </w:pPr>
            <w:r>
              <w:rPr>
                <w:color w:val="000000"/>
                <w:sz w:val="20"/>
                <w:szCs w:val="20"/>
              </w:rPr>
              <w:t>Витрати були нараховані відповідно до бухгалтерських практик учасника і були належним чином підтверджені.</w:t>
            </w:r>
          </w:p>
        </w:tc>
        <w:tc>
          <w:tcPr>
            <w:tcW w:w="1328" w:type="dxa"/>
            <w:shd w:val="clear" w:color="auto" w:fill="auto"/>
            <w:tcMar>
              <w:top w:w="0" w:type="dxa"/>
              <w:left w:w="108" w:type="dxa"/>
              <w:bottom w:w="0" w:type="dxa"/>
              <w:right w:w="108" w:type="dxa"/>
            </w:tcMar>
          </w:tcPr>
          <w:p w14:paraId="0FD9BB19"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40742E38" w14:textId="77777777">
        <w:tc>
          <w:tcPr>
            <w:tcW w:w="1099" w:type="dxa"/>
            <w:vMerge/>
          </w:tcPr>
          <w:p w14:paraId="15CE4ADA"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3" w:type="dxa"/>
            <w:vMerge/>
          </w:tcPr>
          <w:p w14:paraId="261A392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052" w:type="dxa"/>
            <w:vMerge/>
            <w:shd w:val="clear" w:color="auto" w:fill="auto"/>
            <w:tcMar>
              <w:top w:w="0" w:type="dxa"/>
              <w:left w:w="108" w:type="dxa"/>
              <w:bottom w:w="0" w:type="dxa"/>
              <w:right w:w="108" w:type="dxa"/>
            </w:tcMar>
          </w:tcPr>
          <w:p w14:paraId="5710651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5562" w:type="dxa"/>
            <w:shd w:val="clear" w:color="auto" w:fill="auto"/>
            <w:tcMar>
              <w:top w:w="0" w:type="dxa"/>
              <w:left w:w="108" w:type="dxa"/>
              <w:bottom w:w="0" w:type="dxa"/>
              <w:right w:w="108" w:type="dxa"/>
            </w:tcMar>
          </w:tcPr>
          <w:p w14:paraId="2B02F2DB"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Правильний і повний запис, зроблений в бухгалтерській системі учасника.</w:t>
            </w:r>
          </w:p>
        </w:tc>
        <w:tc>
          <w:tcPr>
            <w:tcW w:w="1328" w:type="dxa"/>
            <w:shd w:val="clear" w:color="auto" w:fill="auto"/>
            <w:tcMar>
              <w:top w:w="0" w:type="dxa"/>
              <w:left w:w="108" w:type="dxa"/>
              <w:bottom w:w="0" w:type="dxa"/>
              <w:right w:w="108" w:type="dxa"/>
            </w:tcMar>
          </w:tcPr>
          <w:p w14:paraId="2B2B8AAF" w14:textId="77777777" w:rsidR="004111A3" w:rsidRDefault="00A909B0">
            <w:pPr>
              <w:spacing w:before="120" w:after="120"/>
              <w:jc w:val="center"/>
              <w:rPr>
                <w:color w:val="000000"/>
                <w:sz w:val="20"/>
                <w:szCs w:val="20"/>
              </w:rPr>
            </w:pPr>
            <w:r>
              <w:rPr>
                <w:color w:val="000000"/>
                <w:sz w:val="20"/>
                <w:szCs w:val="20"/>
              </w:rPr>
              <w:t>ТАК / НІ / Н.З.</w:t>
            </w:r>
          </w:p>
        </w:tc>
      </w:tr>
    </w:tbl>
    <w:p w14:paraId="441E0198" w14:textId="77777777" w:rsidR="004111A3" w:rsidRDefault="004111A3"/>
    <w:p w14:paraId="4E300999" w14:textId="77777777" w:rsidR="004111A3" w:rsidRDefault="00A909B0">
      <w:pPr>
        <w:rPr>
          <w:b/>
          <w:sz w:val="20"/>
          <w:szCs w:val="20"/>
        </w:rPr>
      </w:pPr>
      <w:r>
        <w:rPr>
          <w:b/>
          <w:sz w:val="20"/>
          <w:szCs w:val="20"/>
        </w:rPr>
        <w:t>Інші категорії витрат (D.)</w:t>
      </w:r>
    </w:p>
    <w:p w14:paraId="23ED0335"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Фінансова підтримка третіх осіб/сторін (D.1)</w:t>
      </w:r>
    </w:p>
    <w:tbl>
      <w:tblPr>
        <w:tblStyle w:val="afff4"/>
        <w:tblpPr w:leftFromText="180" w:rightFromText="180" w:vertAnchor="text" w:tblpY="1"/>
        <w:tblW w:w="15031"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094"/>
        <w:gridCol w:w="1047"/>
        <w:gridCol w:w="6509"/>
        <w:gridCol w:w="4961"/>
        <w:gridCol w:w="1420"/>
      </w:tblGrid>
      <w:tr w:rsidR="004111A3" w14:paraId="71DE291E" w14:textId="77777777">
        <w:trPr>
          <w:tblHeader/>
        </w:trPr>
        <w:tc>
          <w:tcPr>
            <w:tcW w:w="15032" w:type="dxa"/>
            <w:gridSpan w:val="5"/>
            <w:shd w:val="clear" w:color="auto" w:fill="EBF1DD"/>
          </w:tcPr>
          <w:p w14:paraId="56A0CCD0" w14:textId="77777777" w:rsidR="004111A3" w:rsidRDefault="00A909B0">
            <w:pPr>
              <w:spacing w:before="120" w:after="120"/>
              <w:ind w:left="142"/>
              <w:jc w:val="left"/>
              <w:rPr>
                <w:b/>
                <w:color w:val="000000"/>
              </w:rPr>
            </w:pPr>
            <w:r>
              <w:rPr>
                <w:b/>
                <w:color w:val="FF0000"/>
              </w:rPr>
              <w:t>ПОГОДЖЕНІ CFS ПРОЦЕДУРИ - Фінансова підтримка третім сторонам (D.1)</w:t>
            </w:r>
          </w:p>
        </w:tc>
      </w:tr>
      <w:tr w:rsidR="004111A3" w14:paraId="724D6135" w14:textId="77777777">
        <w:trPr>
          <w:tblHeader/>
        </w:trPr>
        <w:tc>
          <w:tcPr>
            <w:tcW w:w="1095" w:type="dxa"/>
            <w:shd w:val="clear" w:color="auto" w:fill="EBF1DD"/>
          </w:tcPr>
          <w:p w14:paraId="72DC50C4"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047" w:type="dxa"/>
            <w:shd w:val="clear" w:color="auto" w:fill="EBF1DD"/>
          </w:tcPr>
          <w:p w14:paraId="09136C90"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509" w:type="dxa"/>
            <w:shd w:val="clear" w:color="auto" w:fill="EBF1DD"/>
            <w:tcMar>
              <w:top w:w="0" w:type="dxa"/>
              <w:left w:w="108" w:type="dxa"/>
              <w:bottom w:w="0" w:type="dxa"/>
              <w:right w:w="108" w:type="dxa"/>
            </w:tcMar>
            <w:vAlign w:val="center"/>
          </w:tcPr>
          <w:p w14:paraId="49387F71" w14:textId="77777777" w:rsidR="004111A3" w:rsidRDefault="00A909B0">
            <w:pPr>
              <w:spacing w:before="120" w:after="120"/>
              <w:jc w:val="center"/>
              <w:rPr>
                <w:color w:val="000000"/>
                <w:sz w:val="20"/>
                <w:szCs w:val="20"/>
              </w:rPr>
            </w:pPr>
            <w:r>
              <w:rPr>
                <w:b/>
                <w:color w:val="000000"/>
                <w:sz w:val="20"/>
                <w:szCs w:val="20"/>
              </w:rPr>
              <w:t>Процедури</w:t>
            </w:r>
          </w:p>
        </w:tc>
        <w:tc>
          <w:tcPr>
            <w:tcW w:w="4961" w:type="dxa"/>
            <w:shd w:val="clear" w:color="auto" w:fill="EBF1DD"/>
            <w:tcMar>
              <w:top w:w="0" w:type="dxa"/>
              <w:left w:w="108" w:type="dxa"/>
              <w:bottom w:w="0" w:type="dxa"/>
              <w:right w:w="108" w:type="dxa"/>
            </w:tcMar>
            <w:vAlign w:val="center"/>
          </w:tcPr>
          <w:p w14:paraId="177DF58F" w14:textId="77777777" w:rsidR="004111A3" w:rsidRDefault="00A909B0">
            <w:pPr>
              <w:spacing w:before="120" w:after="120"/>
              <w:jc w:val="center"/>
              <w:rPr>
                <w:b/>
                <w:color w:val="000000"/>
              </w:rPr>
            </w:pPr>
            <w:r>
              <w:rPr>
                <w:b/>
                <w:color w:val="000000"/>
                <w:sz w:val="22"/>
                <w:szCs w:val="22"/>
              </w:rPr>
              <w:t>Стандартний висновок</w:t>
            </w:r>
          </w:p>
        </w:tc>
        <w:tc>
          <w:tcPr>
            <w:tcW w:w="1420" w:type="dxa"/>
            <w:shd w:val="clear" w:color="auto" w:fill="EBF1DD"/>
            <w:tcMar>
              <w:top w:w="0" w:type="dxa"/>
              <w:left w:w="108" w:type="dxa"/>
              <w:bottom w:w="0" w:type="dxa"/>
              <w:right w:w="108" w:type="dxa"/>
            </w:tcMar>
            <w:vAlign w:val="center"/>
          </w:tcPr>
          <w:p w14:paraId="56422AD1" w14:textId="77777777" w:rsidR="004111A3" w:rsidRDefault="00A909B0">
            <w:pPr>
              <w:spacing w:before="120" w:after="120"/>
              <w:jc w:val="center"/>
              <w:rPr>
                <w:b/>
                <w:color w:val="000000"/>
              </w:rPr>
            </w:pPr>
            <w:r>
              <w:rPr>
                <w:b/>
                <w:color w:val="000000"/>
                <w:sz w:val="22"/>
                <w:szCs w:val="22"/>
              </w:rPr>
              <w:t>Результат</w:t>
            </w:r>
          </w:p>
          <w:p w14:paraId="437172C9" w14:textId="77777777" w:rsidR="004111A3" w:rsidRDefault="00A909B0">
            <w:pPr>
              <w:spacing w:before="120" w:after="120"/>
              <w:jc w:val="center"/>
              <w:rPr>
                <w:b/>
                <w:color w:val="000000"/>
              </w:rPr>
            </w:pPr>
            <w:r>
              <w:rPr>
                <w:b/>
                <w:color w:val="000000"/>
                <w:sz w:val="22"/>
                <w:szCs w:val="22"/>
              </w:rPr>
              <w:t>(ТАК / НІ / Н.З.)</w:t>
            </w:r>
          </w:p>
        </w:tc>
      </w:tr>
      <w:tr w:rsidR="004111A3" w14:paraId="6BF60630" w14:textId="77777777">
        <w:tc>
          <w:tcPr>
            <w:tcW w:w="1095" w:type="dxa"/>
            <w:shd w:val="clear" w:color="auto" w:fill="EBF1DD"/>
          </w:tcPr>
          <w:p w14:paraId="1D972671" w14:textId="77777777" w:rsidR="004111A3" w:rsidRDefault="00A909B0">
            <w:pPr>
              <w:spacing w:before="120" w:after="120"/>
              <w:jc w:val="center"/>
              <w:rPr>
                <w:b/>
                <w:color w:val="000000"/>
                <w:sz w:val="20"/>
                <w:szCs w:val="20"/>
              </w:rPr>
            </w:pPr>
            <w:r>
              <w:rPr>
                <w:b/>
                <w:color w:val="000000"/>
                <w:sz w:val="20"/>
                <w:szCs w:val="20"/>
              </w:rPr>
              <w:t>Стаття 6.2.D</w:t>
            </w:r>
          </w:p>
        </w:tc>
        <w:tc>
          <w:tcPr>
            <w:tcW w:w="1047" w:type="dxa"/>
            <w:shd w:val="clear" w:color="auto" w:fill="EBF1DD"/>
            <w:vAlign w:val="center"/>
          </w:tcPr>
          <w:p w14:paraId="4AAA7E03" w14:textId="77777777" w:rsidR="004111A3" w:rsidRDefault="00A909B0">
            <w:pPr>
              <w:spacing w:before="120" w:after="120"/>
              <w:jc w:val="center"/>
              <w:rPr>
                <w:b/>
                <w:color w:val="000000"/>
                <w:sz w:val="20"/>
                <w:szCs w:val="20"/>
              </w:rPr>
            </w:pPr>
            <w:r>
              <w:rPr>
                <w:b/>
                <w:color w:val="000000"/>
                <w:sz w:val="20"/>
                <w:szCs w:val="20"/>
              </w:rPr>
              <w:t>D.</w:t>
            </w:r>
          </w:p>
        </w:tc>
        <w:tc>
          <w:tcPr>
            <w:tcW w:w="12890" w:type="dxa"/>
            <w:gridSpan w:val="3"/>
            <w:shd w:val="clear" w:color="auto" w:fill="EBF1DD"/>
          </w:tcPr>
          <w:p w14:paraId="09B12571" w14:textId="77777777" w:rsidR="004111A3" w:rsidRDefault="00A909B0">
            <w:pPr>
              <w:spacing w:before="120" w:after="120"/>
              <w:ind w:left="132"/>
              <w:rPr>
                <w:b/>
                <w:color w:val="000000"/>
                <w:sz w:val="20"/>
                <w:szCs w:val="20"/>
              </w:rPr>
            </w:pPr>
            <w:r>
              <w:rPr>
                <w:b/>
                <w:color w:val="000000"/>
                <w:sz w:val="20"/>
                <w:szCs w:val="20"/>
              </w:rPr>
              <w:t>ІНШІ КАТЕГОРІЇ ВИТРАТ</w:t>
            </w:r>
          </w:p>
        </w:tc>
      </w:tr>
      <w:tr w:rsidR="004111A3" w14:paraId="069FD13C" w14:textId="77777777">
        <w:tc>
          <w:tcPr>
            <w:tcW w:w="1095" w:type="dxa"/>
            <w:shd w:val="clear" w:color="auto" w:fill="EBF1DD"/>
          </w:tcPr>
          <w:p w14:paraId="58584ABC" w14:textId="77777777" w:rsidR="004111A3" w:rsidRDefault="00A909B0">
            <w:pPr>
              <w:spacing w:before="120" w:after="120"/>
              <w:jc w:val="center"/>
              <w:rPr>
                <w:b/>
                <w:color w:val="000000"/>
                <w:sz w:val="20"/>
                <w:szCs w:val="20"/>
              </w:rPr>
            </w:pPr>
            <w:r>
              <w:rPr>
                <w:b/>
                <w:color w:val="000000"/>
                <w:sz w:val="20"/>
                <w:szCs w:val="20"/>
              </w:rPr>
              <w:t>Стаття 6.2.D.1</w:t>
            </w:r>
          </w:p>
        </w:tc>
        <w:tc>
          <w:tcPr>
            <w:tcW w:w="1047" w:type="dxa"/>
            <w:shd w:val="clear" w:color="auto" w:fill="EBF1DD"/>
            <w:vAlign w:val="center"/>
          </w:tcPr>
          <w:p w14:paraId="4E37EC55" w14:textId="77777777" w:rsidR="004111A3" w:rsidRDefault="00A909B0">
            <w:pPr>
              <w:spacing w:before="240" w:after="240"/>
              <w:jc w:val="center"/>
              <w:rPr>
                <w:b/>
                <w:color w:val="000000"/>
                <w:sz w:val="20"/>
                <w:szCs w:val="20"/>
              </w:rPr>
            </w:pPr>
            <w:r>
              <w:rPr>
                <w:b/>
                <w:color w:val="000000"/>
                <w:sz w:val="20"/>
                <w:szCs w:val="20"/>
              </w:rPr>
              <w:t>D.1</w:t>
            </w:r>
          </w:p>
        </w:tc>
        <w:tc>
          <w:tcPr>
            <w:tcW w:w="12890" w:type="dxa"/>
            <w:gridSpan w:val="3"/>
            <w:shd w:val="clear" w:color="auto" w:fill="EBF1DD"/>
          </w:tcPr>
          <w:p w14:paraId="52725125" w14:textId="77777777" w:rsidR="004111A3" w:rsidRDefault="00A909B0">
            <w:pPr>
              <w:spacing w:before="240" w:after="240"/>
              <w:ind w:left="118"/>
              <w:jc w:val="left"/>
              <w:rPr>
                <w:b/>
                <w:color w:val="000000"/>
                <w:sz w:val="20"/>
                <w:szCs w:val="20"/>
              </w:rPr>
            </w:pPr>
            <w:r>
              <w:rPr>
                <w:b/>
                <w:color w:val="000000"/>
                <w:sz w:val="20"/>
                <w:szCs w:val="20"/>
              </w:rPr>
              <w:t>ФІНАНСОВА ПІДТРИМКА ТРЕТІХ ОСІБ</w:t>
            </w:r>
          </w:p>
        </w:tc>
      </w:tr>
      <w:tr w:rsidR="004111A3" w14:paraId="6FEE3289" w14:textId="77777777">
        <w:tc>
          <w:tcPr>
            <w:tcW w:w="1095" w:type="dxa"/>
            <w:vMerge w:val="restart"/>
          </w:tcPr>
          <w:p w14:paraId="3C2AA7A4" w14:textId="77777777" w:rsidR="004111A3" w:rsidRDefault="00A909B0">
            <w:pPr>
              <w:spacing w:before="120" w:after="120"/>
              <w:jc w:val="center"/>
              <w:rPr>
                <w:b/>
                <w:color w:val="000000"/>
                <w:sz w:val="20"/>
                <w:szCs w:val="20"/>
              </w:rPr>
            </w:pPr>
            <w:r>
              <w:rPr>
                <w:b/>
                <w:color w:val="000000"/>
                <w:sz w:val="20"/>
                <w:szCs w:val="20"/>
              </w:rPr>
              <w:t>Стаття 6.2.D.1</w:t>
            </w:r>
          </w:p>
        </w:tc>
        <w:tc>
          <w:tcPr>
            <w:tcW w:w="1047" w:type="dxa"/>
            <w:vMerge w:val="restart"/>
          </w:tcPr>
          <w:p w14:paraId="4B6E04EF" w14:textId="77777777" w:rsidR="004111A3" w:rsidRDefault="00A909B0">
            <w:pPr>
              <w:spacing w:before="120" w:after="120"/>
              <w:jc w:val="center"/>
              <w:rPr>
                <w:i/>
                <w:color w:val="7030A0"/>
                <w:sz w:val="20"/>
                <w:szCs w:val="20"/>
              </w:rPr>
            </w:pPr>
            <w:r>
              <w:rPr>
                <w:b/>
                <w:color w:val="000000"/>
                <w:sz w:val="20"/>
                <w:szCs w:val="20"/>
              </w:rPr>
              <w:t xml:space="preserve">D.1 </w:t>
            </w:r>
            <w:r>
              <w:t xml:space="preserve"> </w:t>
            </w:r>
            <w:r>
              <w:rPr>
                <w:b/>
                <w:color w:val="000000"/>
                <w:sz w:val="20"/>
                <w:szCs w:val="20"/>
              </w:rPr>
              <w:t xml:space="preserve">ФІНАНСОВА ПІДТРИМКА ТРЕТІХ ОСІБ </w:t>
            </w:r>
            <w:r>
              <w:rPr>
                <w:i/>
                <w:color w:val="7030A0"/>
                <w:sz w:val="20"/>
                <w:szCs w:val="20"/>
              </w:rPr>
              <w:t xml:space="preserve">(всі програми, крім RFCS, SMP ESS, EUAF, </w:t>
            </w:r>
            <w:r>
              <w:rPr>
                <w:i/>
                <w:color w:val="7030A0"/>
                <w:sz w:val="20"/>
                <w:szCs w:val="20"/>
              </w:rPr>
              <w:lastRenderedPageBreak/>
              <w:t>CUST/FISC, CCEI, PERI, TSI, UCPM)</w:t>
            </w:r>
          </w:p>
          <w:p w14:paraId="56C0342B" w14:textId="77777777" w:rsidR="004111A3" w:rsidRDefault="00A909B0">
            <w:pPr>
              <w:spacing w:before="120" w:after="120"/>
              <w:jc w:val="center"/>
              <w:rPr>
                <w:b/>
                <w:color w:val="000000"/>
                <w:sz w:val="20"/>
                <w:szCs w:val="20"/>
              </w:rPr>
            </w:pPr>
            <w:r>
              <w:rPr>
                <w:b/>
                <w:color w:val="000000"/>
                <w:sz w:val="20"/>
                <w:szCs w:val="20"/>
              </w:rPr>
              <w:t xml:space="preserve">D.1 </w:t>
            </w:r>
            <w:r>
              <w:t xml:space="preserve"> </w:t>
            </w:r>
            <w:r>
              <w:rPr>
                <w:b/>
                <w:color w:val="000000"/>
                <w:sz w:val="20"/>
                <w:szCs w:val="20"/>
              </w:rPr>
              <w:t>Якщо фактичні витрати:</w:t>
            </w:r>
          </w:p>
          <w:p w14:paraId="269E2C51" w14:textId="77777777" w:rsidR="004111A3" w:rsidRDefault="00A909B0">
            <w:pPr>
              <w:spacing w:before="120" w:after="120"/>
              <w:jc w:val="center"/>
              <w:rPr>
                <w:color w:val="7030A0"/>
                <w:sz w:val="20"/>
                <w:szCs w:val="20"/>
              </w:rPr>
            </w:pPr>
            <w:r>
              <w:rPr>
                <w:color w:val="7030A0"/>
                <w:sz w:val="20"/>
                <w:szCs w:val="20"/>
              </w:rPr>
              <w:t>(всі, крім SMP COSME EYE)</w:t>
            </w:r>
          </w:p>
        </w:tc>
        <w:tc>
          <w:tcPr>
            <w:tcW w:w="6509" w:type="dxa"/>
            <w:shd w:val="clear" w:color="auto" w:fill="auto"/>
            <w:tcMar>
              <w:top w:w="0" w:type="dxa"/>
              <w:left w:w="108" w:type="dxa"/>
              <w:bottom w:w="0" w:type="dxa"/>
              <w:right w:w="108" w:type="dxa"/>
            </w:tcMar>
          </w:tcPr>
          <w:p w14:paraId="1D16D8F9" w14:textId="77777777" w:rsidR="004111A3" w:rsidRDefault="00A909B0">
            <w:pPr>
              <w:spacing w:before="120" w:after="120"/>
              <w:rPr>
                <w:b/>
                <w:i/>
                <w:sz w:val="20"/>
                <w:szCs w:val="20"/>
              </w:rPr>
            </w:pPr>
            <w:r>
              <w:rPr>
                <w:b/>
                <w:i/>
                <w:sz w:val="20"/>
                <w:szCs w:val="20"/>
              </w:rPr>
              <w:lastRenderedPageBreak/>
              <w:t>Спеціаліст формує вибірку для проведення процедур за цією категорією витрат. Вибірка повинна бути відібрана випадковим чином. Вона повинна охоплювати 10% всіх позицій, за якими були задекларовані витрати, з мінімальною вибіркою в 10 позицій (або всі, якщо було задекларовано менше 10 позицій).</w:t>
            </w:r>
          </w:p>
          <w:p w14:paraId="108E8F1E" w14:textId="77777777" w:rsidR="004111A3" w:rsidRDefault="00A909B0">
            <w:pPr>
              <w:spacing w:before="120" w:after="120"/>
              <w:rPr>
                <w:color w:val="000000"/>
                <w:sz w:val="20"/>
                <w:szCs w:val="20"/>
              </w:rPr>
            </w:pPr>
            <w:r>
              <w:rPr>
                <w:color w:val="000000"/>
                <w:sz w:val="20"/>
                <w:szCs w:val="20"/>
              </w:rPr>
              <w:t xml:space="preserve">Спеціаліст зробив вибірку </w:t>
            </w:r>
            <w:r>
              <w:rPr>
                <w:color w:val="000000"/>
                <w:sz w:val="20"/>
                <w:szCs w:val="20"/>
                <w:highlight w:val="lightGray"/>
              </w:rPr>
              <w:t>_____</w:t>
            </w:r>
            <w:r>
              <w:rPr>
                <w:color w:val="000000"/>
                <w:sz w:val="20"/>
                <w:szCs w:val="20"/>
              </w:rPr>
              <w:t xml:space="preserve"> </w:t>
            </w:r>
            <w:r>
              <w:t xml:space="preserve"> </w:t>
            </w:r>
            <w:r>
              <w:rPr>
                <w:color w:val="000000"/>
                <w:sz w:val="20"/>
                <w:szCs w:val="20"/>
              </w:rPr>
              <w:t xml:space="preserve"> із загальної кількості </w:t>
            </w:r>
            <w:r>
              <w:rPr>
                <w:color w:val="000000"/>
                <w:sz w:val="20"/>
                <w:szCs w:val="20"/>
                <w:highlight w:val="lightGray"/>
              </w:rPr>
              <w:t>_____</w:t>
            </w:r>
            <w:r>
              <w:rPr>
                <w:color w:val="000000"/>
                <w:sz w:val="20"/>
                <w:szCs w:val="20"/>
              </w:rPr>
              <w:t>.</w:t>
            </w:r>
          </w:p>
        </w:tc>
        <w:tc>
          <w:tcPr>
            <w:tcW w:w="6381" w:type="dxa"/>
            <w:gridSpan w:val="2"/>
            <w:shd w:val="clear" w:color="auto" w:fill="F2F2F2"/>
            <w:tcMar>
              <w:top w:w="0" w:type="dxa"/>
              <w:left w:w="108" w:type="dxa"/>
              <w:bottom w:w="0" w:type="dxa"/>
              <w:right w:w="108" w:type="dxa"/>
            </w:tcMar>
          </w:tcPr>
          <w:p w14:paraId="48153063" w14:textId="77777777" w:rsidR="004111A3" w:rsidRDefault="004111A3">
            <w:pPr>
              <w:spacing w:before="120" w:after="120"/>
              <w:jc w:val="left"/>
              <w:rPr>
                <w:color w:val="000000"/>
                <w:sz w:val="20"/>
                <w:szCs w:val="20"/>
              </w:rPr>
            </w:pPr>
          </w:p>
        </w:tc>
      </w:tr>
      <w:tr w:rsidR="004111A3" w14:paraId="1F379E4F" w14:textId="77777777">
        <w:tc>
          <w:tcPr>
            <w:tcW w:w="1095" w:type="dxa"/>
            <w:vMerge/>
          </w:tcPr>
          <w:p w14:paraId="2015932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76BC044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val="restart"/>
            <w:shd w:val="clear" w:color="auto" w:fill="auto"/>
            <w:tcMar>
              <w:top w:w="0" w:type="dxa"/>
              <w:left w:w="108" w:type="dxa"/>
              <w:bottom w:w="0" w:type="dxa"/>
              <w:right w:w="108" w:type="dxa"/>
            </w:tcMar>
          </w:tcPr>
          <w:p w14:paraId="25FD1D51" w14:textId="77777777" w:rsidR="004111A3" w:rsidRDefault="00A909B0">
            <w:pPr>
              <w:spacing w:before="120" w:after="120"/>
              <w:rPr>
                <w:b/>
                <w:i/>
                <w:color w:val="000000"/>
                <w:sz w:val="20"/>
                <w:szCs w:val="20"/>
              </w:rPr>
            </w:pPr>
            <w:r>
              <w:rPr>
                <w:b/>
                <w:i/>
                <w:color w:val="000000"/>
                <w:sz w:val="20"/>
                <w:szCs w:val="20"/>
              </w:rPr>
              <w:t>Для пунктів FSTP (фінансова підтримка третіх осіб/сторін), включених до вибірки:</w:t>
            </w:r>
          </w:p>
          <w:p w14:paraId="7A5A7A46" w14:textId="77777777" w:rsidR="004111A3" w:rsidRDefault="00A909B0">
            <w:pPr>
              <w:spacing w:before="120" w:after="120"/>
              <w:rPr>
                <w:color w:val="000000"/>
                <w:sz w:val="20"/>
                <w:szCs w:val="20"/>
              </w:rPr>
            </w:pPr>
            <w:r>
              <w:rPr>
                <w:color w:val="000000"/>
                <w:sz w:val="20"/>
                <w:szCs w:val="20"/>
              </w:rPr>
              <w:lastRenderedPageBreak/>
              <w:t>Спеціаліст здійснив загальну перевірку прийнятності та неприйнятності витрат (див. вище).</w:t>
            </w:r>
          </w:p>
          <w:p w14:paraId="7C11C510" w14:textId="77777777" w:rsidR="004111A3" w:rsidRDefault="00A909B0">
            <w:pPr>
              <w:spacing w:before="120" w:after="120"/>
              <w:rPr>
                <w:color w:val="000000"/>
                <w:sz w:val="20"/>
                <w:szCs w:val="20"/>
              </w:rPr>
            </w:pPr>
            <w:r>
              <w:rPr>
                <w:color w:val="000000"/>
                <w:sz w:val="20"/>
                <w:szCs w:val="20"/>
              </w:rPr>
              <w:t>Спеціаліст перевірив, що витрати на надання фінансової підтримки третім особам (у вигляді грантів, призів або подібних форм підтримки; якщо такі є):</w:t>
            </w:r>
          </w:p>
          <w:p w14:paraId="50C1FDE8"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були визнані прийнятними в Грантовій угоді</w:t>
            </w:r>
          </w:p>
          <w:p w14:paraId="3D369A4D"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максимальна сума фінансової підтримки для кожної третьої сторони не повинна перевищувати суму на одного одержувача, зазначену в Інформаційній картці або іншим чином узгоджену з органом, що надає грант, та відповідно до застосовних умов конкурсу, згідно з якими було видано Грантову угоду</w:t>
            </w:r>
          </w:p>
          <w:p w14:paraId="72CA60D3" w14:textId="77777777" w:rsidR="004111A3" w:rsidRDefault="00A909B0">
            <w:pPr>
              <w:spacing w:before="120" w:after="120"/>
              <w:jc w:val="left"/>
              <w:rPr>
                <w:color w:val="000000"/>
                <w:sz w:val="20"/>
                <w:szCs w:val="20"/>
              </w:rPr>
            </w:pPr>
            <w:r>
              <w:rPr>
                <w:color w:val="000000"/>
                <w:sz w:val="20"/>
                <w:szCs w:val="20"/>
              </w:rPr>
              <w:t>Практик також:</w:t>
            </w:r>
          </w:p>
          <w:p w14:paraId="58F16B39"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звірили перелік реципієнтів, для яких були заявлені витрати, з пропозиціями та проектною документацією.</w:t>
            </w:r>
          </w:p>
          <w:p w14:paraId="40AB4B30"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перевірили наявність підписаних договорів/форм про надання допомоги між учасниками та </w:t>
            </w:r>
            <w:proofErr w:type="spellStart"/>
            <w:r>
              <w:rPr>
                <w:color w:val="000000"/>
                <w:sz w:val="20"/>
                <w:szCs w:val="20"/>
              </w:rPr>
              <w:t>бенефіціарами</w:t>
            </w:r>
            <w:proofErr w:type="spellEnd"/>
            <w:r>
              <w:rPr>
                <w:color w:val="000000"/>
                <w:sz w:val="20"/>
                <w:szCs w:val="20"/>
              </w:rPr>
              <w:t>. Якщо інше не передбачено умовами конкурсу, фінансова підтримка третім особам повинна надаватися безпосередньо від учасника гранту ЄС до (кінцевих) реципієнтів, без подальших посередників.</w:t>
            </w:r>
          </w:p>
          <w:p w14:paraId="06705658" w14:textId="77777777" w:rsidR="004111A3" w:rsidRDefault="00A909B0">
            <w:pPr>
              <w:spacing w:before="120" w:after="120"/>
              <w:jc w:val="left"/>
              <w:rPr>
                <w:color w:val="000000"/>
                <w:sz w:val="20"/>
                <w:szCs w:val="20"/>
              </w:rPr>
            </w:pPr>
            <w:r>
              <w:rPr>
                <w:color w:val="000000"/>
                <w:sz w:val="20"/>
                <w:szCs w:val="20"/>
              </w:rPr>
              <w:t>перевірили, чи проводив учасник аудит реципієнтів. Відстежили коригування витрат у фінансовій звітності до ЄС і переконалися, що вони були враховані.</w:t>
            </w:r>
          </w:p>
          <w:p w14:paraId="1EAD22A5" w14:textId="77777777" w:rsidR="004111A3" w:rsidRDefault="00A909B0">
            <w:pPr>
              <w:widowControl w:val="0"/>
              <w:spacing w:before="120" w:after="120"/>
              <w:jc w:val="left"/>
              <w:rPr>
                <w:color w:val="000000"/>
                <w:sz w:val="20"/>
                <w:szCs w:val="20"/>
              </w:rPr>
            </w:pPr>
            <w:r>
              <w:rPr>
                <w:color w:val="000000"/>
                <w:sz w:val="20"/>
                <w:szCs w:val="20"/>
              </w:rPr>
              <w:t>Фахівець-практик перевірив, що підтримка надається відповідно до умов, викладених у Додатку 1 ГУ, які мають забезпечувати об'єктивні та прозорі процедури відбору та включати щонайменше такі мінімальні умови:</w:t>
            </w:r>
          </w:p>
          <w:p w14:paraId="7316E204" w14:textId="77777777" w:rsidR="004111A3" w:rsidRDefault="00A909B0">
            <w:pPr>
              <w:widowControl w:val="0"/>
              <w:numPr>
                <w:ilvl w:val="0"/>
                <w:numId w:val="7"/>
              </w:numPr>
              <w:pBdr>
                <w:top w:val="nil"/>
                <w:left w:val="nil"/>
                <w:bottom w:val="nil"/>
                <w:right w:val="nil"/>
                <w:between w:val="nil"/>
              </w:pBdr>
              <w:spacing w:before="120" w:after="120"/>
              <w:ind w:left="450"/>
              <w:jc w:val="left"/>
              <w:rPr>
                <w:color w:val="000000"/>
                <w:sz w:val="20"/>
                <w:szCs w:val="20"/>
              </w:rPr>
            </w:pPr>
            <w:r>
              <w:rPr>
                <w:color w:val="000000"/>
                <w:sz w:val="20"/>
                <w:szCs w:val="20"/>
              </w:rPr>
              <w:t>для отримання грантів (або подібних):</w:t>
            </w:r>
          </w:p>
          <w:p w14:paraId="4FE997A2"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максимальний розмір фінансової підтримки для кожної третьої особи ("реципієнт"); ця сума не може перевищувати суму, зазначену в Інформаційній картці або іншим чином узгоджену з органом, що надає грант</w:t>
            </w:r>
          </w:p>
          <w:p w14:paraId="4F6AF625"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критерії для розрахунку точної суми фінансової підтримки</w:t>
            </w:r>
          </w:p>
          <w:p w14:paraId="5571D08B"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різні види діяльності, які мають право на фінансову підтримку, на основі закритого переліку</w:t>
            </w:r>
          </w:p>
          <w:p w14:paraId="0A5A3BF1"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 xml:space="preserve">особи або категорії осіб, яким буде надана підтримка, та  </w:t>
            </w:r>
          </w:p>
          <w:p w14:paraId="42BA3F0D"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lastRenderedPageBreak/>
              <w:t>критерії та процедури надання фінансової підтримки</w:t>
            </w:r>
          </w:p>
          <w:p w14:paraId="7E11BFE5" w14:textId="77777777" w:rsidR="004111A3" w:rsidRDefault="00A909B0">
            <w:pPr>
              <w:widowControl w:val="0"/>
              <w:numPr>
                <w:ilvl w:val="0"/>
                <w:numId w:val="7"/>
              </w:numPr>
              <w:pBdr>
                <w:top w:val="nil"/>
                <w:left w:val="nil"/>
                <w:bottom w:val="nil"/>
                <w:right w:val="nil"/>
                <w:between w:val="nil"/>
              </w:pBdr>
              <w:spacing w:before="120" w:after="120"/>
              <w:ind w:left="450"/>
              <w:jc w:val="left"/>
              <w:rPr>
                <w:color w:val="000000"/>
                <w:sz w:val="20"/>
                <w:szCs w:val="20"/>
              </w:rPr>
            </w:pPr>
            <w:r>
              <w:rPr>
                <w:color w:val="000000"/>
                <w:sz w:val="20"/>
                <w:szCs w:val="20"/>
              </w:rPr>
              <w:t>для отримання призів (або аналогічних):</w:t>
            </w:r>
          </w:p>
          <w:p w14:paraId="09FB9CCC"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критерії прийнятності та нагороди</w:t>
            </w:r>
          </w:p>
          <w:p w14:paraId="14BAE11B"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розмір призу та</w:t>
            </w:r>
          </w:p>
          <w:p w14:paraId="605A759D"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умови оплати</w:t>
            </w:r>
          </w:p>
          <w:p w14:paraId="095EF9B4" w14:textId="77777777" w:rsidR="004111A3" w:rsidRDefault="00A909B0">
            <w:pPr>
              <w:widowControl w:val="0"/>
              <w:numPr>
                <w:ilvl w:val="0"/>
                <w:numId w:val="7"/>
              </w:numPr>
              <w:pBdr>
                <w:top w:val="nil"/>
                <w:left w:val="nil"/>
                <w:bottom w:val="nil"/>
                <w:right w:val="nil"/>
                <w:between w:val="nil"/>
              </w:pBdr>
              <w:spacing w:before="120" w:after="120"/>
              <w:ind w:left="450"/>
              <w:jc w:val="left"/>
              <w:rPr>
                <w:color w:val="000000"/>
                <w:sz w:val="20"/>
                <w:szCs w:val="20"/>
              </w:rPr>
            </w:pPr>
            <w:r>
              <w:rPr>
                <w:color w:val="000000"/>
                <w:sz w:val="20"/>
                <w:szCs w:val="20"/>
              </w:rPr>
              <w:t>для інших видів фінансової підтримки третім особам:</w:t>
            </w:r>
          </w:p>
          <w:p w14:paraId="1B9E36EC"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максимальний розмір фінансової підтримки для кожної третьої особи ("реципієнт"); ця сума не може перевищувати суму, зазначену в Інформаційній картці або іншим чином узгоджену з органом, що надає грант</w:t>
            </w:r>
          </w:p>
          <w:p w14:paraId="1FADCEFB"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критерії для визначення точної суми</w:t>
            </w:r>
          </w:p>
          <w:p w14:paraId="69EA4574"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 xml:space="preserve">види діяльності, які будуть фінансуватися </w:t>
            </w:r>
          </w:p>
          <w:p w14:paraId="5B775DE9" w14:textId="77777777" w:rsidR="004111A3" w:rsidRDefault="00A909B0">
            <w:pPr>
              <w:numPr>
                <w:ilvl w:val="0"/>
                <w:numId w:val="2"/>
              </w:numPr>
              <w:spacing w:before="120" w:after="120"/>
              <w:ind w:left="876" w:hanging="357"/>
              <w:jc w:val="left"/>
              <w:rPr>
                <w:color w:val="000000"/>
                <w:sz w:val="20"/>
                <w:szCs w:val="20"/>
              </w:rPr>
            </w:pPr>
            <w:r>
              <w:rPr>
                <w:color w:val="000000"/>
                <w:sz w:val="20"/>
                <w:szCs w:val="20"/>
              </w:rPr>
              <w:t>типи реципієнтів, які мають право на отримання допомоги.</w:t>
            </w:r>
          </w:p>
          <w:p w14:paraId="0D5AADA2" w14:textId="77777777" w:rsidR="004111A3" w:rsidRDefault="00A909B0">
            <w:pPr>
              <w:spacing w:before="120" w:after="120"/>
              <w:rPr>
                <w:color w:val="000000"/>
                <w:sz w:val="20"/>
                <w:szCs w:val="20"/>
              </w:rPr>
            </w:pPr>
            <w:r>
              <w:rPr>
                <w:color w:val="000000"/>
                <w:sz w:val="20"/>
                <w:szCs w:val="20"/>
              </w:rPr>
              <w:t>Якщо конкурс дозволяє фінансову підтримку третім сторонам, безпосередньо або через партнерів-виконавців, у формі, що підлягає поверненню, наприклад, (мікро)позики або інші фінансові інструменти довгострокового характеру, які за своїм характером перевищують тривалість дії та Додаток 1, ГУ повинен передбачати конкретні умови прийнятності та прийняття витрат. Експерт перевірив, що ці конкретні умови виконуються.</w:t>
            </w:r>
          </w:p>
          <w:p w14:paraId="6AC3C83C" w14:textId="77777777" w:rsidR="004111A3" w:rsidRDefault="00A909B0">
            <w:pPr>
              <w:spacing w:before="120" w:after="120"/>
              <w:rPr>
                <w:color w:val="000000"/>
                <w:sz w:val="20"/>
                <w:szCs w:val="20"/>
              </w:rPr>
            </w:pPr>
            <w:r>
              <w:rPr>
                <w:color w:val="000000"/>
                <w:sz w:val="20"/>
                <w:szCs w:val="20"/>
              </w:rPr>
              <w:t xml:space="preserve">Фахівець перевірив, що підтримка надається відповідно до конкретних умов виклику (якщо такі є).  </w:t>
            </w:r>
          </w:p>
        </w:tc>
        <w:tc>
          <w:tcPr>
            <w:tcW w:w="4961" w:type="dxa"/>
            <w:shd w:val="clear" w:color="auto" w:fill="auto"/>
            <w:tcMar>
              <w:top w:w="0" w:type="dxa"/>
              <w:left w:w="108" w:type="dxa"/>
              <w:bottom w:w="0" w:type="dxa"/>
              <w:right w:w="108" w:type="dxa"/>
            </w:tcMar>
          </w:tcPr>
          <w:p w14:paraId="73E5A253"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lastRenderedPageBreak/>
              <w:t xml:space="preserve">Витрати були прийнятними (без неприйнятних компонентів), ідентифікованими та перевіреними, пов'язаними з проектом та понесеними учасником (підтвердження оплати, відсутність повторного </w:t>
            </w:r>
            <w:r>
              <w:rPr>
                <w:color w:val="000000"/>
                <w:sz w:val="20"/>
                <w:szCs w:val="20"/>
              </w:rPr>
              <w:lastRenderedPageBreak/>
              <w:t>виставлення рахунків іншим організаціям) протягом періоду дії проекту відповідно до його звичайної практики обліку витрат.</w:t>
            </w:r>
          </w:p>
        </w:tc>
        <w:tc>
          <w:tcPr>
            <w:tcW w:w="1420" w:type="dxa"/>
            <w:shd w:val="clear" w:color="auto" w:fill="auto"/>
            <w:tcMar>
              <w:top w:w="0" w:type="dxa"/>
              <w:left w:w="108" w:type="dxa"/>
              <w:bottom w:w="0" w:type="dxa"/>
              <w:right w:w="108" w:type="dxa"/>
            </w:tcMar>
          </w:tcPr>
          <w:p w14:paraId="4B914602" w14:textId="77777777" w:rsidR="004111A3" w:rsidRDefault="00A909B0">
            <w:pPr>
              <w:spacing w:before="120" w:after="120"/>
              <w:jc w:val="center"/>
              <w:rPr>
                <w:color w:val="000000"/>
                <w:sz w:val="20"/>
                <w:szCs w:val="20"/>
              </w:rPr>
            </w:pPr>
            <w:r>
              <w:rPr>
                <w:color w:val="000000"/>
                <w:sz w:val="20"/>
                <w:szCs w:val="20"/>
              </w:rPr>
              <w:lastRenderedPageBreak/>
              <w:t>ТАК / НІ / Н.З.</w:t>
            </w:r>
          </w:p>
        </w:tc>
      </w:tr>
      <w:tr w:rsidR="004111A3" w14:paraId="1CD4EE7D" w14:textId="77777777">
        <w:tc>
          <w:tcPr>
            <w:tcW w:w="1095" w:type="dxa"/>
            <w:vMerge/>
          </w:tcPr>
          <w:p w14:paraId="33C0FF89"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0E18058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shd w:val="clear" w:color="auto" w:fill="auto"/>
            <w:tcMar>
              <w:top w:w="0" w:type="dxa"/>
              <w:left w:w="108" w:type="dxa"/>
              <w:bottom w:w="0" w:type="dxa"/>
              <w:right w:w="108" w:type="dxa"/>
            </w:tcMar>
          </w:tcPr>
          <w:p w14:paraId="4A9824C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49C84E0C" w14:textId="77777777" w:rsidR="004111A3" w:rsidRDefault="00A909B0">
            <w:pPr>
              <w:numPr>
                <w:ilvl w:val="0"/>
                <w:numId w:val="3"/>
              </w:numPr>
              <w:spacing w:before="120" w:after="120"/>
              <w:ind w:left="391" w:hanging="391"/>
              <w:jc w:val="left"/>
              <w:rPr>
                <w:sz w:val="20"/>
                <w:szCs w:val="20"/>
              </w:rPr>
            </w:pPr>
            <w:r>
              <w:rPr>
                <w:color w:val="000000"/>
                <w:sz w:val="20"/>
                <w:szCs w:val="20"/>
              </w:rPr>
              <w:t>Витрати на надання фінансової підтримки третім особам були оголошені прийнятними в умовах конкурсу та Грантовій угоді.</w:t>
            </w:r>
          </w:p>
        </w:tc>
        <w:tc>
          <w:tcPr>
            <w:tcW w:w="1420" w:type="dxa"/>
            <w:shd w:val="clear" w:color="auto" w:fill="auto"/>
            <w:tcMar>
              <w:top w:w="0" w:type="dxa"/>
              <w:left w:w="108" w:type="dxa"/>
              <w:bottom w:w="0" w:type="dxa"/>
              <w:right w:w="108" w:type="dxa"/>
            </w:tcMar>
          </w:tcPr>
          <w:p w14:paraId="2466F515" w14:textId="77777777" w:rsidR="004111A3" w:rsidRDefault="00A909B0">
            <w:pPr>
              <w:spacing w:before="120" w:after="120"/>
              <w:jc w:val="center"/>
              <w:rPr>
                <w:color w:val="000000"/>
              </w:rPr>
            </w:pPr>
            <w:r>
              <w:rPr>
                <w:color w:val="000000"/>
                <w:sz w:val="20"/>
                <w:szCs w:val="20"/>
              </w:rPr>
              <w:t>ТАК / НІ / Н.З.</w:t>
            </w:r>
          </w:p>
        </w:tc>
      </w:tr>
      <w:tr w:rsidR="004111A3" w14:paraId="07E56EE6" w14:textId="77777777">
        <w:tc>
          <w:tcPr>
            <w:tcW w:w="1095" w:type="dxa"/>
            <w:vMerge/>
          </w:tcPr>
          <w:p w14:paraId="2FCDEC4E" w14:textId="77777777" w:rsidR="004111A3" w:rsidRDefault="004111A3">
            <w:pPr>
              <w:widowControl w:val="0"/>
              <w:pBdr>
                <w:top w:val="nil"/>
                <w:left w:val="nil"/>
                <w:bottom w:val="nil"/>
                <w:right w:val="nil"/>
                <w:between w:val="nil"/>
              </w:pBdr>
              <w:spacing w:after="0" w:line="276" w:lineRule="auto"/>
              <w:jc w:val="left"/>
              <w:rPr>
                <w:color w:val="000000"/>
              </w:rPr>
            </w:pPr>
          </w:p>
        </w:tc>
        <w:tc>
          <w:tcPr>
            <w:tcW w:w="1047" w:type="dxa"/>
            <w:vMerge/>
          </w:tcPr>
          <w:p w14:paraId="09EF3D56" w14:textId="77777777" w:rsidR="004111A3" w:rsidRDefault="004111A3">
            <w:pPr>
              <w:widowControl w:val="0"/>
              <w:pBdr>
                <w:top w:val="nil"/>
                <w:left w:val="nil"/>
                <w:bottom w:val="nil"/>
                <w:right w:val="nil"/>
                <w:between w:val="nil"/>
              </w:pBdr>
              <w:spacing w:after="0" w:line="276" w:lineRule="auto"/>
              <w:jc w:val="left"/>
              <w:rPr>
                <w:color w:val="000000"/>
              </w:rPr>
            </w:pPr>
          </w:p>
        </w:tc>
        <w:tc>
          <w:tcPr>
            <w:tcW w:w="6509" w:type="dxa"/>
            <w:vMerge/>
            <w:shd w:val="clear" w:color="auto" w:fill="auto"/>
            <w:tcMar>
              <w:top w:w="0" w:type="dxa"/>
              <w:left w:w="108" w:type="dxa"/>
              <w:bottom w:w="0" w:type="dxa"/>
              <w:right w:w="108" w:type="dxa"/>
            </w:tcMar>
          </w:tcPr>
          <w:p w14:paraId="3A10CD48" w14:textId="77777777" w:rsidR="004111A3" w:rsidRDefault="004111A3">
            <w:pPr>
              <w:widowControl w:val="0"/>
              <w:pBdr>
                <w:top w:val="nil"/>
                <w:left w:val="nil"/>
                <w:bottom w:val="nil"/>
                <w:right w:val="nil"/>
                <w:between w:val="nil"/>
              </w:pBdr>
              <w:spacing w:after="0" w:line="276" w:lineRule="auto"/>
              <w:jc w:val="left"/>
              <w:rPr>
                <w:color w:val="000000"/>
              </w:rPr>
            </w:pPr>
          </w:p>
        </w:tc>
        <w:tc>
          <w:tcPr>
            <w:tcW w:w="4961" w:type="dxa"/>
            <w:shd w:val="clear" w:color="auto" w:fill="auto"/>
            <w:tcMar>
              <w:top w:w="0" w:type="dxa"/>
              <w:left w:w="108" w:type="dxa"/>
              <w:bottom w:w="0" w:type="dxa"/>
              <w:right w:w="108" w:type="dxa"/>
            </w:tcMar>
          </w:tcPr>
          <w:p w14:paraId="31A0101C" w14:textId="77777777" w:rsidR="004111A3" w:rsidRDefault="00A909B0">
            <w:pPr>
              <w:numPr>
                <w:ilvl w:val="0"/>
                <w:numId w:val="3"/>
              </w:numPr>
              <w:spacing w:before="120" w:after="120"/>
              <w:jc w:val="left"/>
              <w:rPr>
                <w:color w:val="000000"/>
                <w:sz w:val="20"/>
                <w:szCs w:val="20"/>
              </w:rPr>
            </w:pPr>
            <w:r>
              <w:rPr>
                <w:color w:val="000000"/>
                <w:sz w:val="20"/>
                <w:szCs w:val="20"/>
              </w:rPr>
              <w:t>Витрати не перевищували максимальну суму фінансової підтримки кожної третьої сторони.</w:t>
            </w:r>
          </w:p>
        </w:tc>
        <w:tc>
          <w:tcPr>
            <w:tcW w:w="1420" w:type="dxa"/>
            <w:shd w:val="clear" w:color="auto" w:fill="auto"/>
            <w:tcMar>
              <w:top w:w="0" w:type="dxa"/>
              <w:left w:w="108" w:type="dxa"/>
              <w:bottom w:w="0" w:type="dxa"/>
              <w:right w:w="108" w:type="dxa"/>
            </w:tcMar>
          </w:tcPr>
          <w:p w14:paraId="6496CA8D" w14:textId="77777777" w:rsidR="004111A3" w:rsidRDefault="00A909B0">
            <w:pPr>
              <w:spacing w:before="120" w:after="120"/>
              <w:jc w:val="center"/>
              <w:rPr>
                <w:color w:val="000000"/>
                <w:highlight w:val="yellow"/>
              </w:rPr>
            </w:pPr>
            <w:r>
              <w:rPr>
                <w:color w:val="000000"/>
                <w:sz w:val="20"/>
                <w:szCs w:val="20"/>
              </w:rPr>
              <w:t>ТАК / НІ / Н.З.</w:t>
            </w:r>
          </w:p>
        </w:tc>
      </w:tr>
      <w:tr w:rsidR="004111A3" w14:paraId="5370C391" w14:textId="77777777">
        <w:tc>
          <w:tcPr>
            <w:tcW w:w="1095" w:type="dxa"/>
            <w:vMerge/>
          </w:tcPr>
          <w:p w14:paraId="07DC21B5" w14:textId="77777777" w:rsidR="004111A3" w:rsidRDefault="004111A3">
            <w:pPr>
              <w:widowControl w:val="0"/>
              <w:pBdr>
                <w:top w:val="nil"/>
                <w:left w:val="nil"/>
                <w:bottom w:val="nil"/>
                <w:right w:val="nil"/>
                <w:between w:val="nil"/>
              </w:pBdr>
              <w:spacing w:after="0" w:line="276" w:lineRule="auto"/>
              <w:jc w:val="left"/>
              <w:rPr>
                <w:color w:val="000000"/>
                <w:highlight w:val="yellow"/>
              </w:rPr>
            </w:pPr>
          </w:p>
        </w:tc>
        <w:tc>
          <w:tcPr>
            <w:tcW w:w="1047" w:type="dxa"/>
            <w:vMerge/>
          </w:tcPr>
          <w:p w14:paraId="2305E06B" w14:textId="77777777" w:rsidR="004111A3" w:rsidRDefault="004111A3">
            <w:pPr>
              <w:widowControl w:val="0"/>
              <w:pBdr>
                <w:top w:val="nil"/>
                <w:left w:val="nil"/>
                <w:bottom w:val="nil"/>
                <w:right w:val="nil"/>
                <w:between w:val="nil"/>
              </w:pBdr>
              <w:spacing w:after="0" w:line="276" w:lineRule="auto"/>
              <w:jc w:val="left"/>
              <w:rPr>
                <w:color w:val="000000"/>
                <w:highlight w:val="yellow"/>
              </w:rPr>
            </w:pPr>
          </w:p>
        </w:tc>
        <w:tc>
          <w:tcPr>
            <w:tcW w:w="6509" w:type="dxa"/>
            <w:vMerge/>
            <w:shd w:val="clear" w:color="auto" w:fill="auto"/>
            <w:tcMar>
              <w:top w:w="0" w:type="dxa"/>
              <w:left w:w="108" w:type="dxa"/>
              <w:bottom w:w="0" w:type="dxa"/>
              <w:right w:w="108" w:type="dxa"/>
            </w:tcMar>
          </w:tcPr>
          <w:p w14:paraId="337F1D2C" w14:textId="77777777" w:rsidR="004111A3" w:rsidRDefault="004111A3">
            <w:pPr>
              <w:widowControl w:val="0"/>
              <w:pBdr>
                <w:top w:val="nil"/>
                <w:left w:val="nil"/>
                <w:bottom w:val="nil"/>
                <w:right w:val="nil"/>
                <w:between w:val="nil"/>
              </w:pBdr>
              <w:spacing w:after="0" w:line="276" w:lineRule="auto"/>
              <w:jc w:val="left"/>
              <w:rPr>
                <w:color w:val="000000"/>
                <w:highlight w:val="yellow"/>
              </w:rPr>
            </w:pPr>
          </w:p>
        </w:tc>
        <w:tc>
          <w:tcPr>
            <w:tcW w:w="4961" w:type="dxa"/>
            <w:shd w:val="clear" w:color="auto" w:fill="auto"/>
            <w:tcMar>
              <w:top w:w="0" w:type="dxa"/>
              <w:left w:w="108" w:type="dxa"/>
              <w:bottom w:w="0" w:type="dxa"/>
              <w:right w:w="108" w:type="dxa"/>
            </w:tcMar>
          </w:tcPr>
          <w:p w14:paraId="2E8EF295" w14:textId="77777777" w:rsidR="004111A3" w:rsidRDefault="00A909B0">
            <w:pPr>
              <w:numPr>
                <w:ilvl w:val="0"/>
                <w:numId w:val="3"/>
              </w:numPr>
              <w:spacing w:before="120" w:after="120"/>
              <w:jc w:val="left"/>
              <w:rPr>
                <w:color w:val="000000"/>
                <w:sz w:val="20"/>
                <w:szCs w:val="20"/>
              </w:rPr>
            </w:pPr>
            <w:r>
              <w:rPr>
                <w:color w:val="000000"/>
                <w:sz w:val="20"/>
                <w:szCs w:val="20"/>
              </w:rPr>
              <w:t>Підтримка була надана відповідно до умов, визначених у Додатку 1 ГУ.</w:t>
            </w:r>
          </w:p>
        </w:tc>
        <w:tc>
          <w:tcPr>
            <w:tcW w:w="1420" w:type="dxa"/>
            <w:shd w:val="clear" w:color="auto" w:fill="auto"/>
            <w:tcMar>
              <w:top w:w="0" w:type="dxa"/>
              <w:left w:w="108" w:type="dxa"/>
              <w:bottom w:w="0" w:type="dxa"/>
              <w:right w:w="108" w:type="dxa"/>
            </w:tcMar>
          </w:tcPr>
          <w:p w14:paraId="3CFD108D" w14:textId="77777777" w:rsidR="004111A3" w:rsidRDefault="00A909B0">
            <w:pPr>
              <w:spacing w:before="120" w:after="120"/>
              <w:jc w:val="center"/>
              <w:rPr>
                <w:color w:val="000000"/>
                <w:highlight w:val="yellow"/>
              </w:rPr>
            </w:pPr>
            <w:r>
              <w:rPr>
                <w:color w:val="000000"/>
                <w:sz w:val="20"/>
                <w:szCs w:val="20"/>
              </w:rPr>
              <w:t>ТАК / НІ / Н.З.</w:t>
            </w:r>
          </w:p>
        </w:tc>
      </w:tr>
      <w:tr w:rsidR="004111A3" w14:paraId="2208CD84" w14:textId="77777777">
        <w:tc>
          <w:tcPr>
            <w:tcW w:w="1095" w:type="dxa"/>
            <w:vMerge/>
          </w:tcPr>
          <w:p w14:paraId="280B836B" w14:textId="77777777" w:rsidR="004111A3" w:rsidRDefault="004111A3">
            <w:pPr>
              <w:widowControl w:val="0"/>
              <w:pBdr>
                <w:top w:val="nil"/>
                <w:left w:val="nil"/>
                <w:bottom w:val="nil"/>
                <w:right w:val="nil"/>
                <w:between w:val="nil"/>
              </w:pBdr>
              <w:spacing w:after="0" w:line="276" w:lineRule="auto"/>
              <w:jc w:val="left"/>
              <w:rPr>
                <w:color w:val="000000"/>
                <w:highlight w:val="yellow"/>
              </w:rPr>
            </w:pPr>
          </w:p>
        </w:tc>
        <w:tc>
          <w:tcPr>
            <w:tcW w:w="1047" w:type="dxa"/>
            <w:vMerge/>
          </w:tcPr>
          <w:p w14:paraId="5CBD6F5E" w14:textId="77777777" w:rsidR="004111A3" w:rsidRDefault="004111A3">
            <w:pPr>
              <w:widowControl w:val="0"/>
              <w:pBdr>
                <w:top w:val="nil"/>
                <w:left w:val="nil"/>
                <w:bottom w:val="nil"/>
                <w:right w:val="nil"/>
                <w:between w:val="nil"/>
              </w:pBdr>
              <w:spacing w:after="0" w:line="276" w:lineRule="auto"/>
              <w:jc w:val="left"/>
              <w:rPr>
                <w:color w:val="000000"/>
                <w:highlight w:val="yellow"/>
              </w:rPr>
            </w:pPr>
          </w:p>
        </w:tc>
        <w:tc>
          <w:tcPr>
            <w:tcW w:w="6509" w:type="dxa"/>
            <w:vMerge/>
            <w:shd w:val="clear" w:color="auto" w:fill="auto"/>
            <w:tcMar>
              <w:top w:w="0" w:type="dxa"/>
              <w:left w:w="108" w:type="dxa"/>
              <w:bottom w:w="0" w:type="dxa"/>
              <w:right w:w="108" w:type="dxa"/>
            </w:tcMar>
          </w:tcPr>
          <w:p w14:paraId="6A665EA2" w14:textId="77777777" w:rsidR="004111A3" w:rsidRDefault="004111A3">
            <w:pPr>
              <w:widowControl w:val="0"/>
              <w:pBdr>
                <w:top w:val="nil"/>
                <w:left w:val="nil"/>
                <w:bottom w:val="nil"/>
                <w:right w:val="nil"/>
                <w:between w:val="nil"/>
              </w:pBdr>
              <w:spacing w:after="0" w:line="276" w:lineRule="auto"/>
              <w:jc w:val="left"/>
              <w:rPr>
                <w:color w:val="000000"/>
                <w:highlight w:val="yellow"/>
              </w:rPr>
            </w:pPr>
          </w:p>
        </w:tc>
        <w:tc>
          <w:tcPr>
            <w:tcW w:w="4961" w:type="dxa"/>
            <w:shd w:val="clear" w:color="auto" w:fill="auto"/>
            <w:tcMar>
              <w:top w:w="0" w:type="dxa"/>
              <w:left w:w="108" w:type="dxa"/>
              <w:bottom w:w="0" w:type="dxa"/>
              <w:right w:w="108" w:type="dxa"/>
            </w:tcMar>
          </w:tcPr>
          <w:p w14:paraId="744965DC" w14:textId="77777777" w:rsidR="004111A3" w:rsidRDefault="00A909B0">
            <w:pPr>
              <w:numPr>
                <w:ilvl w:val="0"/>
                <w:numId w:val="3"/>
              </w:numPr>
              <w:spacing w:before="120" w:after="120"/>
              <w:jc w:val="left"/>
              <w:rPr>
                <w:color w:val="000000"/>
                <w:sz w:val="20"/>
                <w:szCs w:val="20"/>
              </w:rPr>
            </w:pPr>
            <w:r>
              <w:rPr>
                <w:color w:val="000000"/>
                <w:sz w:val="20"/>
                <w:szCs w:val="20"/>
              </w:rPr>
              <w:t>(Мінімальні) умови підтримки викладені в Додатку 1 ГУ, і вони також були частиною пропозиції.</w:t>
            </w:r>
          </w:p>
        </w:tc>
        <w:tc>
          <w:tcPr>
            <w:tcW w:w="1420" w:type="dxa"/>
            <w:shd w:val="clear" w:color="auto" w:fill="auto"/>
            <w:tcMar>
              <w:top w:w="0" w:type="dxa"/>
              <w:left w:w="108" w:type="dxa"/>
              <w:bottom w:w="0" w:type="dxa"/>
              <w:right w:w="108" w:type="dxa"/>
            </w:tcMar>
          </w:tcPr>
          <w:p w14:paraId="3ED5902C" w14:textId="77777777" w:rsidR="004111A3" w:rsidRDefault="00A909B0">
            <w:pPr>
              <w:spacing w:before="120" w:after="120"/>
              <w:jc w:val="center"/>
              <w:rPr>
                <w:color w:val="000000"/>
              </w:rPr>
            </w:pPr>
            <w:r>
              <w:rPr>
                <w:color w:val="000000"/>
                <w:sz w:val="20"/>
                <w:szCs w:val="20"/>
              </w:rPr>
              <w:t>ТАК / НІ / Н.З.</w:t>
            </w:r>
          </w:p>
        </w:tc>
      </w:tr>
      <w:tr w:rsidR="004111A3" w14:paraId="73705DD0" w14:textId="77777777">
        <w:tc>
          <w:tcPr>
            <w:tcW w:w="1095" w:type="dxa"/>
            <w:vMerge/>
          </w:tcPr>
          <w:p w14:paraId="46C0F926" w14:textId="77777777" w:rsidR="004111A3" w:rsidRDefault="004111A3">
            <w:pPr>
              <w:widowControl w:val="0"/>
              <w:pBdr>
                <w:top w:val="nil"/>
                <w:left w:val="nil"/>
                <w:bottom w:val="nil"/>
                <w:right w:val="nil"/>
                <w:between w:val="nil"/>
              </w:pBdr>
              <w:spacing w:after="0" w:line="276" w:lineRule="auto"/>
              <w:jc w:val="left"/>
              <w:rPr>
                <w:color w:val="000000"/>
              </w:rPr>
            </w:pPr>
          </w:p>
        </w:tc>
        <w:tc>
          <w:tcPr>
            <w:tcW w:w="1047" w:type="dxa"/>
            <w:vMerge/>
          </w:tcPr>
          <w:p w14:paraId="7423097B" w14:textId="77777777" w:rsidR="004111A3" w:rsidRDefault="004111A3">
            <w:pPr>
              <w:widowControl w:val="0"/>
              <w:pBdr>
                <w:top w:val="nil"/>
                <w:left w:val="nil"/>
                <w:bottom w:val="nil"/>
                <w:right w:val="nil"/>
                <w:between w:val="nil"/>
              </w:pBdr>
              <w:spacing w:after="0" w:line="276" w:lineRule="auto"/>
              <w:jc w:val="left"/>
              <w:rPr>
                <w:color w:val="000000"/>
              </w:rPr>
            </w:pPr>
          </w:p>
        </w:tc>
        <w:tc>
          <w:tcPr>
            <w:tcW w:w="6509" w:type="dxa"/>
            <w:vMerge/>
            <w:shd w:val="clear" w:color="auto" w:fill="auto"/>
            <w:tcMar>
              <w:top w:w="0" w:type="dxa"/>
              <w:left w:w="108" w:type="dxa"/>
              <w:bottom w:w="0" w:type="dxa"/>
              <w:right w:w="108" w:type="dxa"/>
            </w:tcMar>
          </w:tcPr>
          <w:p w14:paraId="7F2FBC59" w14:textId="77777777" w:rsidR="004111A3" w:rsidRDefault="004111A3">
            <w:pPr>
              <w:widowControl w:val="0"/>
              <w:pBdr>
                <w:top w:val="nil"/>
                <w:left w:val="nil"/>
                <w:bottom w:val="nil"/>
                <w:right w:val="nil"/>
                <w:between w:val="nil"/>
              </w:pBdr>
              <w:spacing w:after="0" w:line="276" w:lineRule="auto"/>
              <w:jc w:val="left"/>
              <w:rPr>
                <w:color w:val="000000"/>
              </w:rPr>
            </w:pPr>
          </w:p>
        </w:tc>
        <w:tc>
          <w:tcPr>
            <w:tcW w:w="4961" w:type="dxa"/>
            <w:shd w:val="clear" w:color="auto" w:fill="auto"/>
            <w:tcMar>
              <w:top w:w="0" w:type="dxa"/>
              <w:left w:w="108" w:type="dxa"/>
              <w:bottom w:w="0" w:type="dxa"/>
              <w:right w:w="108" w:type="dxa"/>
            </w:tcMar>
          </w:tcPr>
          <w:p w14:paraId="6559AE85" w14:textId="77777777" w:rsidR="004111A3" w:rsidRDefault="004111A3">
            <w:pPr>
              <w:spacing w:before="120" w:after="120"/>
              <w:jc w:val="left"/>
              <w:rPr>
                <w:color w:val="000000"/>
              </w:rPr>
            </w:pPr>
          </w:p>
        </w:tc>
        <w:tc>
          <w:tcPr>
            <w:tcW w:w="1420" w:type="dxa"/>
            <w:shd w:val="clear" w:color="auto" w:fill="auto"/>
            <w:tcMar>
              <w:top w:w="0" w:type="dxa"/>
              <w:left w:w="108" w:type="dxa"/>
              <w:bottom w:w="0" w:type="dxa"/>
              <w:right w:w="108" w:type="dxa"/>
            </w:tcMar>
          </w:tcPr>
          <w:p w14:paraId="3C891ED3" w14:textId="77777777" w:rsidR="004111A3" w:rsidRDefault="004111A3">
            <w:pPr>
              <w:spacing w:before="120" w:after="120"/>
              <w:rPr>
                <w:color w:val="000000"/>
              </w:rPr>
            </w:pPr>
          </w:p>
        </w:tc>
      </w:tr>
      <w:tr w:rsidR="004111A3" w14:paraId="711FEDB2" w14:textId="77777777">
        <w:tc>
          <w:tcPr>
            <w:tcW w:w="1095" w:type="dxa"/>
          </w:tcPr>
          <w:p w14:paraId="38CBFA9C" w14:textId="77777777" w:rsidR="004111A3" w:rsidRDefault="004111A3">
            <w:pPr>
              <w:spacing w:before="120" w:after="120"/>
              <w:jc w:val="center"/>
              <w:rPr>
                <w:b/>
                <w:color w:val="000000"/>
                <w:sz w:val="20"/>
                <w:szCs w:val="20"/>
              </w:rPr>
            </w:pPr>
          </w:p>
        </w:tc>
        <w:tc>
          <w:tcPr>
            <w:tcW w:w="1047" w:type="dxa"/>
          </w:tcPr>
          <w:p w14:paraId="045A0ADE" w14:textId="77777777" w:rsidR="004111A3" w:rsidRDefault="00A909B0">
            <w:pPr>
              <w:spacing w:before="120" w:after="120"/>
              <w:jc w:val="center"/>
              <w:rPr>
                <w:b/>
                <w:color w:val="000000"/>
                <w:sz w:val="20"/>
                <w:szCs w:val="20"/>
              </w:rPr>
            </w:pPr>
            <w:r>
              <w:rPr>
                <w:b/>
                <w:color w:val="000000"/>
                <w:sz w:val="20"/>
                <w:szCs w:val="20"/>
              </w:rPr>
              <w:t xml:space="preserve">D.1 </w:t>
            </w:r>
            <w:r>
              <w:t xml:space="preserve"> </w:t>
            </w:r>
            <w:r>
              <w:rPr>
                <w:b/>
                <w:color w:val="000000"/>
                <w:sz w:val="20"/>
                <w:szCs w:val="20"/>
              </w:rPr>
              <w:t>Якщо витрати на одиницю продукції:</w:t>
            </w:r>
          </w:p>
          <w:p w14:paraId="0D5F921C" w14:textId="77777777" w:rsidR="004111A3" w:rsidRDefault="00A909B0">
            <w:pPr>
              <w:spacing w:before="120" w:after="120"/>
              <w:jc w:val="center"/>
              <w:rPr>
                <w:b/>
                <w:color w:val="000000"/>
                <w:sz w:val="20"/>
                <w:szCs w:val="20"/>
              </w:rPr>
            </w:pPr>
            <w:r>
              <w:rPr>
                <w:i/>
                <w:color w:val="7030A0"/>
                <w:sz w:val="20"/>
                <w:szCs w:val="20"/>
              </w:rPr>
              <w:t>(SMP COSME EYE)</w:t>
            </w:r>
          </w:p>
        </w:tc>
        <w:tc>
          <w:tcPr>
            <w:tcW w:w="12890" w:type="dxa"/>
            <w:gridSpan w:val="3"/>
            <w:shd w:val="clear" w:color="auto" w:fill="F2F2F2"/>
          </w:tcPr>
          <w:p w14:paraId="2674FD23" w14:textId="77777777" w:rsidR="004111A3" w:rsidRDefault="00A909B0">
            <w:pPr>
              <w:spacing w:before="120" w:after="120"/>
              <w:ind w:left="118"/>
              <w:jc w:val="left"/>
              <w:rPr>
                <w:color w:val="000000"/>
                <w:sz w:val="20"/>
                <w:szCs w:val="20"/>
              </w:rPr>
            </w:pPr>
            <w:r>
              <w:rPr>
                <w:color w:val="000000"/>
                <w:sz w:val="20"/>
                <w:szCs w:val="20"/>
              </w:rPr>
              <w:t>Н/З</w:t>
            </w:r>
          </w:p>
        </w:tc>
      </w:tr>
    </w:tbl>
    <w:p w14:paraId="70EEB887" w14:textId="77777777" w:rsidR="004111A3" w:rsidRDefault="004111A3"/>
    <w:p w14:paraId="1129FE6B"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Внутрішні рахунки-фактури на товари та послуги (D.2)</w:t>
      </w:r>
    </w:p>
    <w:tbl>
      <w:tblPr>
        <w:tblStyle w:val="afff5"/>
        <w:tblpPr w:leftFromText="180" w:rightFromText="180" w:vertAnchor="text" w:tblpY="1"/>
        <w:tblW w:w="15031"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094"/>
        <w:gridCol w:w="1047"/>
        <w:gridCol w:w="6509"/>
        <w:gridCol w:w="4961"/>
        <w:gridCol w:w="1420"/>
      </w:tblGrid>
      <w:tr w:rsidR="004111A3" w14:paraId="36A00E9B" w14:textId="77777777">
        <w:trPr>
          <w:tblHeader/>
        </w:trPr>
        <w:tc>
          <w:tcPr>
            <w:tcW w:w="15032" w:type="dxa"/>
            <w:gridSpan w:val="5"/>
            <w:shd w:val="clear" w:color="auto" w:fill="EBF1DD"/>
          </w:tcPr>
          <w:p w14:paraId="13120D97" w14:textId="77777777" w:rsidR="004111A3" w:rsidRDefault="00A909B0">
            <w:pPr>
              <w:spacing w:before="120" w:after="120"/>
              <w:ind w:left="142"/>
              <w:jc w:val="left"/>
              <w:rPr>
                <w:b/>
                <w:color w:val="000000"/>
                <w:sz w:val="20"/>
                <w:szCs w:val="20"/>
              </w:rPr>
            </w:pPr>
            <w:r>
              <w:rPr>
                <w:b/>
                <w:color w:val="FF0000"/>
              </w:rPr>
              <w:lastRenderedPageBreak/>
              <w:t>ПОГОДЖЕНІ CFS ПРОЦЕДУРИ - Внутрішні рахунки-фактури на товари та послуги (D.2)</w:t>
            </w:r>
          </w:p>
        </w:tc>
      </w:tr>
      <w:tr w:rsidR="004111A3" w14:paraId="7CB8FC38" w14:textId="77777777">
        <w:trPr>
          <w:tblHeader/>
        </w:trPr>
        <w:tc>
          <w:tcPr>
            <w:tcW w:w="1095" w:type="dxa"/>
            <w:shd w:val="clear" w:color="auto" w:fill="EBF1DD"/>
          </w:tcPr>
          <w:p w14:paraId="355D255A"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047" w:type="dxa"/>
            <w:shd w:val="clear" w:color="auto" w:fill="EBF1DD"/>
          </w:tcPr>
          <w:p w14:paraId="516ECDC1"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509" w:type="dxa"/>
            <w:shd w:val="clear" w:color="auto" w:fill="EBF1DD"/>
            <w:tcMar>
              <w:top w:w="0" w:type="dxa"/>
              <w:left w:w="108" w:type="dxa"/>
              <w:bottom w:w="0" w:type="dxa"/>
              <w:right w:w="108" w:type="dxa"/>
            </w:tcMar>
            <w:vAlign w:val="center"/>
          </w:tcPr>
          <w:p w14:paraId="22D839B6" w14:textId="77777777" w:rsidR="004111A3" w:rsidRDefault="00A909B0">
            <w:pPr>
              <w:spacing w:before="120" w:after="120"/>
              <w:jc w:val="center"/>
              <w:rPr>
                <w:b/>
                <w:color w:val="000000"/>
                <w:sz w:val="20"/>
                <w:szCs w:val="20"/>
              </w:rPr>
            </w:pPr>
            <w:r>
              <w:rPr>
                <w:b/>
                <w:color w:val="000000"/>
                <w:sz w:val="20"/>
                <w:szCs w:val="20"/>
              </w:rPr>
              <w:t>Процедури</w:t>
            </w:r>
          </w:p>
        </w:tc>
        <w:tc>
          <w:tcPr>
            <w:tcW w:w="4961" w:type="dxa"/>
            <w:shd w:val="clear" w:color="auto" w:fill="EBF1DD"/>
            <w:vAlign w:val="center"/>
          </w:tcPr>
          <w:p w14:paraId="5C2AB15D"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420" w:type="dxa"/>
            <w:shd w:val="clear" w:color="auto" w:fill="EBF1DD"/>
            <w:vAlign w:val="center"/>
          </w:tcPr>
          <w:p w14:paraId="6CE32A1A" w14:textId="77777777" w:rsidR="004111A3" w:rsidRDefault="00A909B0">
            <w:pPr>
              <w:spacing w:before="120" w:after="120"/>
              <w:jc w:val="center"/>
              <w:rPr>
                <w:b/>
                <w:color w:val="000000"/>
                <w:sz w:val="20"/>
                <w:szCs w:val="20"/>
              </w:rPr>
            </w:pPr>
            <w:r>
              <w:rPr>
                <w:b/>
                <w:color w:val="000000"/>
                <w:sz w:val="20"/>
                <w:szCs w:val="20"/>
              </w:rPr>
              <w:t>Результат</w:t>
            </w:r>
          </w:p>
          <w:p w14:paraId="61D3282C" w14:textId="77777777" w:rsidR="004111A3" w:rsidRDefault="00A909B0">
            <w:pPr>
              <w:spacing w:before="120" w:after="120"/>
              <w:jc w:val="center"/>
              <w:rPr>
                <w:b/>
                <w:color w:val="000000"/>
                <w:sz w:val="20"/>
                <w:szCs w:val="20"/>
              </w:rPr>
            </w:pPr>
            <w:r>
              <w:rPr>
                <w:b/>
                <w:color w:val="000000"/>
                <w:sz w:val="20"/>
                <w:szCs w:val="20"/>
              </w:rPr>
              <w:t>(ТАК / НІ / Н.З.)</w:t>
            </w:r>
          </w:p>
        </w:tc>
      </w:tr>
      <w:tr w:rsidR="004111A3" w14:paraId="7C63E88C" w14:textId="77777777">
        <w:tc>
          <w:tcPr>
            <w:tcW w:w="1095" w:type="dxa"/>
            <w:shd w:val="clear" w:color="auto" w:fill="EBF1DD"/>
          </w:tcPr>
          <w:p w14:paraId="5FB0E12F" w14:textId="77777777" w:rsidR="004111A3" w:rsidRDefault="00A909B0">
            <w:pPr>
              <w:spacing w:before="120" w:after="120"/>
              <w:jc w:val="center"/>
              <w:rPr>
                <w:b/>
                <w:color w:val="000000"/>
                <w:sz w:val="20"/>
                <w:szCs w:val="20"/>
              </w:rPr>
            </w:pPr>
            <w:r>
              <w:rPr>
                <w:b/>
                <w:color w:val="000000"/>
                <w:sz w:val="20"/>
                <w:szCs w:val="20"/>
              </w:rPr>
              <w:t>Стаття 6.2.D.2</w:t>
            </w:r>
          </w:p>
        </w:tc>
        <w:tc>
          <w:tcPr>
            <w:tcW w:w="1047" w:type="dxa"/>
            <w:shd w:val="clear" w:color="auto" w:fill="EBF1DD"/>
          </w:tcPr>
          <w:p w14:paraId="1FBBB732" w14:textId="77777777" w:rsidR="004111A3" w:rsidRDefault="00A909B0">
            <w:pPr>
              <w:spacing w:before="240" w:after="240"/>
              <w:jc w:val="center"/>
              <w:rPr>
                <w:b/>
                <w:color w:val="000000"/>
                <w:sz w:val="20"/>
                <w:szCs w:val="20"/>
              </w:rPr>
            </w:pPr>
            <w:r>
              <w:rPr>
                <w:b/>
                <w:color w:val="000000"/>
                <w:sz w:val="20"/>
                <w:szCs w:val="20"/>
              </w:rPr>
              <w:t>D.2</w:t>
            </w:r>
          </w:p>
        </w:tc>
        <w:tc>
          <w:tcPr>
            <w:tcW w:w="12890" w:type="dxa"/>
            <w:gridSpan w:val="3"/>
            <w:shd w:val="clear" w:color="auto" w:fill="EBF1DD"/>
            <w:tcMar>
              <w:top w:w="0" w:type="dxa"/>
              <w:left w:w="108" w:type="dxa"/>
              <w:bottom w:w="0" w:type="dxa"/>
              <w:right w:w="108" w:type="dxa"/>
            </w:tcMar>
          </w:tcPr>
          <w:p w14:paraId="7F6FBAF3" w14:textId="77777777" w:rsidR="004111A3" w:rsidRDefault="00A909B0">
            <w:pPr>
              <w:spacing w:before="240" w:after="240"/>
              <w:jc w:val="left"/>
              <w:rPr>
                <w:color w:val="000000"/>
                <w:sz w:val="20"/>
                <w:szCs w:val="20"/>
                <w:highlight w:val="yellow"/>
              </w:rPr>
            </w:pPr>
            <w:r>
              <w:rPr>
                <w:b/>
                <w:color w:val="000000"/>
                <w:sz w:val="20"/>
                <w:szCs w:val="20"/>
              </w:rPr>
              <w:t>ВНУТРІШНІ РАХУНКИ-ФАКТУРИ НА ТОВАРИ ТА ПОСЛУГИ</w:t>
            </w:r>
          </w:p>
        </w:tc>
      </w:tr>
      <w:tr w:rsidR="004111A3" w14:paraId="1EBF2E03" w14:textId="77777777">
        <w:tc>
          <w:tcPr>
            <w:tcW w:w="1095" w:type="dxa"/>
            <w:vMerge w:val="restart"/>
          </w:tcPr>
          <w:p w14:paraId="1FDD2ED5" w14:textId="77777777" w:rsidR="004111A3" w:rsidRDefault="00A909B0">
            <w:pPr>
              <w:spacing w:before="120" w:after="120"/>
              <w:jc w:val="center"/>
              <w:rPr>
                <w:b/>
                <w:color w:val="000000"/>
                <w:sz w:val="20"/>
                <w:szCs w:val="20"/>
              </w:rPr>
            </w:pPr>
            <w:r>
              <w:rPr>
                <w:b/>
                <w:color w:val="000000"/>
                <w:sz w:val="20"/>
                <w:szCs w:val="20"/>
              </w:rPr>
              <w:t>Стаття 6.2.D.2</w:t>
            </w:r>
          </w:p>
        </w:tc>
        <w:tc>
          <w:tcPr>
            <w:tcW w:w="1047" w:type="dxa"/>
            <w:vMerge w:val="restart"/>
          </w:tcPr>
          <w:p w14:paraId="035A717B" w14:textId="77777777" w:rsidR="004111A3" w:rsidRDefault="00A909B0">
            <w:pPr>
              <w:spacing w:before="120" w:after="120"/>
              <w:jc w:val="center"/>
              <w:rPr>
                <w:b/>
                <w:color w:val="000000"/>
                <w:sz w:val="20"/>
                <w:szCs w:val="20"/>
              </w:rPr>
            </w:pPr>
            <w:r>
              <w:rPr>
                <w:b/>
                <w:color w:val="000000"/>
                <w:sz w:val="20"/>
                <w:szCs w:val="20"/>
              </w:rPr>
              <w:t xml:space="preserve">D.2 </w:t>
            </w:r>
            <w:r>
              <w:t xml:space="preserve"> </w:t>
            </w:r>
            <w:r>
              <w:rPr>
                <w:b/>
                <w:color w:val="000000"/>
                <w:sz w:val="20"/>
                <w:szCs w:val="20"/>
              </w:rPr>
              <w:t>внутрішні рахунки-фактури на товари та послуги (собівартість одиниці продукції, розрахована відповідно до звичайної практики обліку витрат)</w:t>
            </w:r>
          </w:p>
          <w:p w14:paraId="3FC035D4" w14:textId="77777777" w:rsidR="004111A3" w:rsidRDefault="00A909B0">
            <w:pPr>
              <w:spacing w:before="120" w:after="120"/>
              <w:jc w:val="center"/>
              <w:rPr>
                <w:b/>
                <w:color w:val="000000"/>
                <w:sz w:val="20"/>
                <w:szCs w:val="20"/>
              </w:rPr>
            </w:pPr>
            <w:r>
              <w:rPr>
                <w:i/>
                <w:color w:val="7030A0"/>
                <w:sz w:val="20"/>
                <w:szCs w:val="20"/>
              </w:rPr>
              <w:t>(HE, DEP, EDF)</w:t>
            </w:r>
          </w:p>
        </w:tc>
        <w:tc>
          <w:tcPr>
            <w:tcW w:w="6509" w:type="dxa"/>
            <w:shd w:val="clear" w:color="auto" w:fill="auto"/>
            <w:tcMar>
              <w:top w:w="0" w:type="dxa"/>
              <w:left w:w="108" w:type="dxa"/>
              <w:bottom w:w="0" w:type="dxa"/>
              <w:right w:w="108" w:type="dxa"/>
            </w:tcMar>
          </w:tcPr>
          <w:p w14:paraId="4BDDDE0E" w14:textId="77777777" w:rsidR="004111A3" w:rsidRDefault="00A909B0">
            <w:pPr>
              <w:spacing w:before="120" w:after="120"/>
              <w:rPr>
                <w:b/>
                <w:i/>
                <w:color w:val="000000"/>
                <w:sz w:val="20"/>
                <w:szCs w:val="20"/>
              </w:rPr>
            </w:pPr>
            <w:r>
              <w:rPr>
                <w:b/>
                <w:i/>
                <w:color w:val="000000"/>
                <w:sz w:val="20"/>
                <w:szCs w:val="20"/>
              </w:rPr>
              <w:t>Спеціаліст формує вибірку для проведення процедур за цією категорією витрат. Вибірка повинна бути відібрана випадковим чином. Вона повинна охоплювати 10% всіх позицій, за якими були задекларовані витрати, з мінімальною вибіркою в 10 позицій (або всі, якщо було задекларовано менше 10 позицій).</w:t>
            </w:r>
          </w:p>
          <w:p w14:paraId="199CA956" w14:textId="77777777" w:rsidR="004111A3" w:rsidRDefault="00A909B0">
            <w:pPr>
              <w:spacing w:before="120" w:after="120"/>
              <w:rPr>
                <w:color w:val="000000"/>
                <w:sz w:val="20"/>
                <w:szCs w:val="20"/>
              </w:rPr>
            </w:pPr>
            <w:r>
              <w:rPr>
                <w:color w:val="000000"/>
                <w:sz w:val="20"/>
                <w:szCs w:val="20"/>
              </w:rPr>
              <w:t xml:space="preserve">Спеціаліст зробив вибірку </w:t>
            </w:r>
            <w:r>
              <w:rPr>
                <w:color w:val="000000"/>
                <w:sz w:val="20"/>
                <w:szCs w:val="20"/>
                <w:highlight w:val="lightGray"/>
              </w:rPr>
              <w:t>_____</w:t>
            </w:r>
            <w:r>
              <w:rPr>
                <w:color w:val="000000"/>
                <w:sz w:val="20"/>
                <w:szCs w:val="20"/>
              </w:rPr>
              <w:t xml:space="preserve"> </w:t>
            </w:r>
            <w:r>
              <w:t xml:space="preserve"> </w:t>
            </w:r>
            <w:r>
              <w:rPr>
                <w:color w:val="000000"/>
                <w:sz w:val="20"/>
                <w:szCs w:val="20"/>
              </w:rPr>
              <w:t>із загальної кількості</w:t>
            </w:r>
            <w:r>
              <w:rPr>
                <w:color w:val="000000"/>
                <w:sz w:val="20"/>
                <w:szCs w:val="20"/>
                <w:highlight w:val="lightGray"/>
              </w:rPr>
              <w:t xml:space="preserve"> _____</w:t>
            </w:r>
            <w:r>
              <w:rPr>
                <w:color w:val="000000"/>
                <w:sz w:val="20"/>
                <w:szCs w:val="20"/>
              </w:rPr>
              <w:t>.</w:t>
            </w:r>
          </w:p>
        </w:tc>
        <w:tc>
          <w:tcPr>
            <w:tcW w:w="6381" w:type="dxa"/>
            <w:gridSpan w:val="2"/>
            <w:shd w:val="clear" w:color="auto" w:fill="F2F2F2"/>
            <w:tcMar>
              <w:top w:w="0" w:type="dxa"/>
              <w:left w:w="108" w:type="dxa"/>
              <w:bottom w:w="0" w:type="dxa"/>
              <w:right w:w="108" w:type="dxa"/>
            </w:tcMar>
          </w:tcPr>
          <w:p w14:paraId="2A191173" w14:textId="77777777" w:rsidR="004111A3" w:rsidRDefault="004111A3">
            <w:pPr>
              <w:spacing w:before="120" w:after="120"/>
              <w:jc w:val="center"/>
              <w:rPr>
                <w:color w:val="000000"/>
                <w:sz w:val="20"/>
                <w:szCs w:val="20"/>
              </w:rPr>
            </w:pPr>
          </w:p>
        </w:tc>
      </w:tr>
      <w:tr w:rsidR="004111A3" w14:paraId="5B87623C" w14:textId="77777777">
        <w:tc>
          <w:tcPr>
            <w:tcW w:w="1095" w:type="dxa"/>
            <w:vMerge/>
          </w:tcPr>
          <w:p w14:paraId="2754FCA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026CC10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val="restart"/>
            <w:shd w:val="clear" w:color="auto" w:fill="auto"/>
            <w:tcMar>
              <w:top w:w="0" w:type="dxa"/>
              <w:left w:w="108" w:type="dxa"/>
              <w:bottom w:w="0" w:type="dxa"/>
              <w:right w:w="108" w:type="dxa"/>
            </w:tcMar>
          </w:tcPr>
          <w:p w14:paraId="2134D0ED" w14:textId="77777777" w:rsidR="004111A3" w:rsidRDefault="00A909B0">
            <w:pPr>
              <w:spacing w:before="120" w:after="120"/>
              <w:rPr>
                <w:b/>
                <w:i/>
                <w:color w:val="000000"/>
                <w:sz w:val="20"/>
                <w:szCs w:val="20"/>
              </w:rPr>
            </w:pPr>
            <w:r>
              <w:rPr>
                <w:b/>
                <w:i/>
                <w:color w:val="000000"/>
                <w:sz w:val="20"/>
                <w:szCs w:val="20"/>
              </w:rPr>
              <w:t>Для внутрішніх рахунків-фактур, включених до вибірки:</w:t>
            </w:r>
          </w:p>
          <w:p w14:paraId="023FE939" w14:textId="77777777" w:rsidR="004111A3" w:rsidRDefault="00A909B0">
            <w:pPr>
              <w:spacing w:before="120" w:after="120"/>
              <w:rPr>
                <w:color w:val="000000"/>
                <w:sz w:val="20"/>
                <w:szCs w:val="20"/>
              </w:rPr>
            </w:pPr>
            <w:r>
              <w:rPr>
                <w:color w:val="000000"/>
                <w:sz w:val="20"/>
                <w:szCs w:val="20"/>
              </w:rPr>
              <w:t>Спеціаліст здійснив загальну перевірку прийнятності та неприйнятності витрат (див. вище).</w:t>
            </w:r>
          </w:p>
          <w:p w14:paraId="68E2E102" w14:textId="77777777" w:rsidR="004111A3" w:rsidRDefault="00A909B0">
            <w:pPr>
              <w:spacing w:before="120" w:after="120"/>
              <w:rPr>
                <w:color w:val="000000"/>
                <w:sz w:val="20"/>
                <w:szCs w:val="20"/>
              </w:rPr>
            </w:pPr>
            <w:r>
              <w:rPr>
                <w:color w:val="000000"/>
                <w:sz w:val="20"/>
                <w:szCs w:val="20"/>
              </w:rPr>
              <w:t>"Товари та послуги за внутрішніми рахунками" означають товари або послуги, які надаються в межах організації учасника безпосередньо для проведення заходу і які учасник оцінює на основі своєї звичайної практики обліку витрат. Ця бюджетна категорія охоплює витрати на товари та послуги, які учасник сам виготовив або надав для проведення заходу.</w:t>
            </w:r>
          </w:p>
          <w:p w14:paraId="62DEF77F" w14:textId="77777777" w:rsidR="004111A3" w:rsidRDefault="00A909B0">
            <w:pPr>
              <w:spacing w:before="120" w:after="120"/>
              <w:jc w:val="left"/>
              <w:rPr>
                <w:color w:val="000000"/>
                <w:sz w:val="20"/>
                <w:szCs w:val="20"/>
              </w:rPr>
            </w:pPr>
            <w:r>
              <w:rPr>
                <w:color w:val="000000"/>
                <w:sz w:val="20"/>
                <w:szCs w:val="20"/>
              </w:rPr>
              <w:t>Щоб підтвердити стандартні висновки в наступній колонці, фахівець перевірив що:</w:t>
            </w:r>
          </w:p>
          <w:p w14:paraId="1EC9B7F4"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одиниці були фактично впроваджені (використані або вироблені)</w:t>
            </w:r>
          </w:p>
          <w:p w14:paraId="3BA2C5EF"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одиниці були необхідно для реалізації дії</w:t>
            </w:r>
          </w:p>
          <w:p w14:paraId="6E9047CD"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учасник не задекларував витрати, що покриваються собівартістю одиниці продукції, також за іншими категоріями витрат</w:t>
            </w:r>
          </w:p>
          <w:p w14:paraId="301F657B"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були дотримані конкретні умови прийнятності, викладені в Грантовій угоді (за наявності).</w:t>
            </w:r>
          </w:p>
          <w:p w14:paraId="3F84E9A3" w14:textId="77777777" w:rsidR="004111A3" w:rsidRDefault="00A909B0">
            <w:pPr>
              <w:spacing w:before="120" w:after="120"/>
              <w:jc w:val="left"/>
              <w:rPr>
                <w:color w:val="000000"/>
                <w:sz w:val="20"/>
                <w:szCs w:val="20"/>
              </w:rPr>
            </w:pPr>
            <w:r>
              <w:rPr>
                <w:color w:val="000000"/>
                <w:sz w:val="20"/>
                <w:szCs w:val="20"/>
              </w:rPr>
              <w:lastRenderedPageBreak/>
              <w:t xml:space="preserve">Витрати на товари та послуги, за які виставляються внутрішні рахунки, повинні бути задекларовані як витрати на одиницю продукції відповідно до звичайної практики обліку витрат учасника. Звичайна практика обліку витрат учасника повинна визначати як одиницю виміру (наприклад, годину використання аеродинамічної труби, один </w:t>
            </w:r>
            <w:proofErr w:type="spellStart"/>
            <w:r>
              <w:rPr>
                <w:color w:val="000000"/>
                <w:sz w:val="20"/>
                <w:szCs w:val="20"/>
              </w:rPr>
              <w:t>геномний</w:t>
            </w:r>
            <w:proofErr w:type="spellEnd"/>
            <w:r>
              <w:rPr>
                <w:color w:val="000000"/>
                <w:sz w:val="20"/>
                <w:szCs w:val="20"/>
              </w:rPr>
              <w:t xml:space="preserve"> тест, одну електронну пластину власного виробництва тощо), так і методологію визначення вартості одиниці виміру. </w:t>
            </w:r>
          </w:p>
          <w:p w14:paraId="6903F6C4" w14:textId="77777777" w:rsidR="004111A3" w:rsidRDefault="00A909B0">
            <w:pPr>
              <w:spacing w:before="120" w:after="120"/>
              <w:jc w:val="left"/>
              <w:rPr>
                <w:color w:val="000000"/>
                <w:sz w:val="20"/>
                <w:szCs w:val="20"/>
              </w:rPr>
            </w:pPr>
            <w:r>
              <w:rPr>
                <w:color w:val="000000"/>
                <w:sz w:val="20"/>
                <w:szCs w:val="20"/>
              </w:rPr>
              <w:t>Щоб підтвердити стандартні висновки в наступній колонці, спеціаліст:</w:t>
            </w:r>
          </w:p>
          <w:p w14:paraId="581EB44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отримав записи та документи, що підтверджують витрати, заявлені як собівартість одиниці продукції, щоб зрозуміти використану методологію</w:t>
            </w:r>
          </w:p>
          <w:p w14:paraId="2CF6603B"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отримав опис звичайної практики обліку витрат учасника для розрахунку собівартості товарів та послуг за внутрішніми рахунками-фактурами (собівартості одиниці продукції)</w:t>
            </w:r>
          </w:p>
          <w:p w14:paraId="02D694E0"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перевірив, чи застосовувалася звичайна практика обліку витрат учасника для фінансової звітності, що є предметом цього CFS</w:t>
            </w:r>
          </w:p>
          <w:p w14:paraId="7D19F5E4"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переконався, що звичайна практика обліку витрат учасника для розрахунку собівартості одиниці продукції використовується послідовно, незалежно від джерела фінансування</w:t>
            </w:r>
          </w:p>
          <w:p w14:paraId="67FB259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перевірив, чи однакові витрати на одиницю продукції послідовно застосовуються в інших операціях, не пов'язаних з грантами ЄС</w:t>
            </w:r>
          </w:p>
          <w:p w14:paraId="28DDE2B4"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перевірив, що будь-які неприйнятні витрати або витрати, заявлені в інших бюджетних категоріях, не були враховані при розрахунку вартості товарів і послуг за внутрішніми рахунками (див. ст. 6)</w:t>
            </w:r>
          </w:p>
          <w:p w14:paraId="634EECD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перевірив, чи фактичні витрати на товари та послуги, за які були виставлені внутрішні рахунки, були скориговані на основі бюджетних або кошторисних елементів, і якщо так, то перевірили, чи ці елементи, використані для розрахунку, дійсно є релевантними та відповідають інформації, яку можна перевірити. Кошторис становить менше 5% від задекларованих витрат</w:t>
            </w:r>
          </w:p>
          <w:p w14:paraId="65E162C0" w14:textId="77777777" w:rsidR="004111A3" w:rsidRDefault="00A909B0">
            <w:pPr>
              <w:numPr>
                <w:ilvl w:val="0"/>
                <w:numId w:val="2"/>
              </w:numPr>
              <w:spacing w:before="120" w:after="120"/>
              <w:ind w:left="504" w:hanging="330"/>
              <w:jc w:val="left"/>
              <w:rPr>
                <w:color w:val="000000"/>
                <w:sz w:val="20"/>
                <w:szCs w:val="20"/>
              </w:rPr>
            </w:pPr>
            <w:r>
              <w:rPr>
                <w:color w:val="7030A0"/>
                <w:sz w:val="20"/>
                <w:szCs w:val="20"/>
              </w:rPr>
              <w:t>для всіх програм, окрім "Горизонт Європа":</w:t>
            </w:r>
            <w:r>
              <w:rPr>
                <w:sz w:val="20"/>
                <w:szCs w:val="20"/>
              </w:rPr>
              <w:t xml:space="preserve"> перевірено, що будь-які витрати на елементи, які безпосередньо не пов'язані з виробництвом товарів чи послуг, за які виставлено рахунок (наприклад, допоміжні послуги, такі як прибирання, загальна бухгалтерія, адміністративна підтримка тощо, які безпосередньо не використовуються для виробництва товару чи послуги), не були </w:t>
            </w:r>
            <w:r>
              <w:rPr>
                <w:sz w:val="20"/>
                <w:szCs w:val="20"/>
              </w:rPr>
              <w:lastRenderedPageBreak/>
              <w:t>враховані при розрахунку витрат на товари та послуги, за які виставлено внутрішній рахунок.</w:t>
            </w:r>
          </w:p>
          <w:p w14:paraId="12964DBF" w14:textId="77777777" w:rsidR="004111A3" w:rsidRDefault="00A909B0">
            <w:pPr>
              <w:numPr>
                <w:ilvl w:val="0"/>
                <w:numId w:val="2"/>
              </w:numPr>
              <w:spacing w:before="120" w:after="120"/>
              <w:ind w:left="504" w:hanging="330"/>
              <w:jc w:val="left"/>
              <w:rPr>
                <w:b/>
                <w:color w:val="000000"/>
                <w:sz w:val="20"/>
                <w:szCs w:val="20"/>
              </w:rPr>
            </w:pPr>
            <w:r>
              <w:rPr>
                <w:color w:val="7030A0"/>
                <w:sz w:val="20"/>
                <w:szCs w:val="20"/>
              </w:rPr>
              <w:t>для всіх програм, окрім "Горизонт Європа":</w:t>
            </w:r>
            <w:r>
              <w:rPr>
                <w:sz w:val="20"/>
                <w:szCs w:val="20"/>
              </w:rPr>
              <w:t xml:space="preserve"> перевірено, що витрати на ресурси, які не належать учаснику і якими він користується безкоштовно (наприклад, персонал або обладнання третьої сторони, надане безкоштовно), не були враховані при розрахунку витрат на товари та послуги за внутрішніми рахунками (див. ст. 6), оскільки ці витрати не відображені в його рахунках (див. ст. 6.1(a)(v))</w:t>
            </w:r>
          </w:p>
          <w:p w14:paraId="2B3164BE" w14:textId="77777777" w:rsidR="004111A3" w:rsidRDefault="00A909B0">
            <w:pPr>
              <w:numPr>
                <w:ilvl w:val="0"/>
                <w:numId w:val="2"/>
              </w:numPr>
              <w:spacing w:before="120" w:after="120"/>
              <w:ind w:left="504" w:hanging="330"/>
              <w:jc w:val="left"/>
              <w:rPr>
                <w:b/>
                <w:color w:val="000000"/>
                <w:sz w:val="20"/>
                <w:szCs w:val="20"/>
              </w:rPr>
            </w:pPr>
            <w:r>
              <w:rPr>
                <w:color w:val="000000"/>
                <w:sz w:val="20"/>
                <w:szCs w:val="20"/>
              </w:rPr>
              <w:t>перевірив, чи всі витрати за статтями, що використовуються для розрахунку собівартості товарів та послуг, за якими виставляються внутрішні рахунки, підтверджені документально та відображені в бухгалтерському обліку.</w:t>
            </w:r>
          </w:p>
        </w:tc>
        <w:tc>
          <w:tcPr>
            <w:tcW w:w="4961" w:type="dxa"/>
            <w:shd w:val="clear" w:color="auto" w:fill="auto"/>
            <w:tcMar>
              <w:top w:w="0" w:type="dxa"/>
              <w:left w:w="108" w:type="dxa"/>
              <w:bottom w:w="0" w:type="dxa"/>
              <w:right w:w="108" w:type="dxa"/>
            </w:tcMar>
          </w:tcPr>
          <w:p w14:paraId="20F28406" w14:textId="77777777" w:rsidR="004111A3" w:rsidRDefault="00A909B0">
            <w:pPr>
              <w:numPr>
                <w:ilvl w:val="0"/>
                <w:numId w:val="3"/>
              </w:numPr>
              <w:spacing w:before="120" w:after="120"/>
              <w:jc w:val="left"/>
              <w:rPr>
                <w:color w:val="000000"/>
                <w:sz w:val="20"/>
                <w:szCs w:val="20"/>
              </w:rPr>
            </w:pPr>
            <w:r>
              <w:rPr>
                <w:color w:val="000000"/>
                <w:sz w:val="20"/>
                <w:szCs w:val="20"/>
              </w:rPr>
              <w:lastRenderedPageBreak/>
              <w:t>Витрати були прийнятними (без неприйнятних компонентів), ідентифікованими та перевіреними, пов'язаними з проектом та понесеними учасником (підтвердження оплати, відсутність повторного виставлення рахунків іншим організаціям) протягом періоду дії проекту відповідно до його звичайної практики обліку витрат.</w:t>
            </w:r>
          </w:p>
        </w:tc>
        <w:tc>
          <w:tcPr>
            <w:tcW w:w="1420" w:type="dxa"/>
            <w:shd w:val="clear" w:color="auto" w:fill="auto"/>
            <w:tcMar>
              <w:top w:w="0" w:type="dxa"/>
              <w:left w:w="108" w:type="dxa"/>
              <w:bottom w:w="0" w:type="dxa"/>
              <w:right w:w="108" w:type="dxa"/>
            </w:tcMar>
          </w:tcPr>
          <w:p w14:paraId="12BF9A19"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6F2065D3" w14:textId="77777777">
        <w:tc>
          <w:tcPr>
            <w:tcW w:w="1095" w:type="dxa"/>
            <w:vMerge/>
          </w:tcPr>
          <w:p w14:paraId="73D077A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1F8A418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shd w:val="clear" w:color="auto" w:fill="auto"/>
            <w:tcMar>
              <w:top w:w="0" w:type="dxa"/>
              <w:left w:w="108" w:type="dxa"/>
              <w:bottom w:w="0" w:type="dxa"/>
              <w:right w:w="108" w:type="dxa"/>
            </w:tcMar>
          </w:tcPr>
          <w:p w14:paraId="1601344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473E9BBF" w14:textId="77777777" w:rsidR="004111A3" w:rsidRDefault="00A909B0">
            <w:pPr>
              <w:numPr>
                <w:ilvl w:val="0"/>
                <w:numId w:val="3"/>
              </w:numPr>
              <w:spacing w:before="120" w:after="120"/>
              <w:jc w:val="left"/>
              <w:rPr>
                <w:color w:val="000000"/>
                <w:sz w:val="20"/>
                <w:szCs w:val="20"/>
              </w:rPr>
            </w:pPr>
            <w:r>
              <w:rPr>
                <w:color w:val="000000"/>
                <w:sz w:val="20"/>
                <w:szCs w:val="20"/>
              </w:rPr>
              <w:t>Методологія фахівця-практика включала щонайменше метод визначення суми за одиницю використаної продукції, відповідні підтверджуючі записи та документи, що підтверджують кількість задекларованих одиниць, детальну інформацію про кількість задекларованих одиниць та суму за одиницю використаної продукції, що становить загальну суму заявлених витрат, тощо.</w:t>
            </w:r>
          </w:p>
        </w:tc>
        <w:tc>
          <w:tcPr>
            <w:tcW w:w="1420" w:type="dxa"/>
            <w:shd w:val="clear" w:color="auto" w:fill="auto"/>
            <w:tcMar>
              <w:top w:w="0" w:type="dxa"/>
              <w:left w:w="108" w:type="dxa"/>
              <w:bottom w:w="0" w:type="dxa"/>
              <w:right w:w="108" w:type="dxa"/>
            </w:tcMar>
          </w:tcPr>
          <w:p w14:paraId="47E9CB13"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76DEE27A" w14:textId="77777777">
        <w:tc>
          <w:tcPr>
            <w:tcW w:w="1095" w:type="dxa"/>
            <w:vMerge/>
          </w:tcPr>
          <w:p w14:paraId="48EF4C42"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047" w:type="dxa"/>
            <w:vMerge/>
          </w:tcPr>
          <w:p w14:paraId="1F4D5C84"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509" w:type="dxa"/>
            <w:vMerge/>
            <w:shd w:val="clear" w:color="auto" w:fill="auto"/>
            <w:tcMar>
              <w:top w:w="0" w:type="dxa"/>
              <w:left w:w="108" w:type="dxa"/>
              <w:bottom w:w="0" w:type="dxa"/>
              <w:right w:w="108" w:type="dxa"/>
            </w:tcMar>
          </w:tcPr>
          <w:p w14:paraId="75E2F3F0"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shd w:val="clear" w:color="auto" w:fill="auto"/>
            <w:tcMar>
              <w:top w:w="0" w:type="dxa"/>
              <w:left w:w="108" w:type="dxa"/>
              <w:bottom w:w="0" w:type="dxa"/>
              <w:right w:w="108" w:type="dxa"/>
            </w:tcMar>
          </w:tcPr>
          <w:p w14:paraId="1EB5430A" w14:textId="77777777" w:rsidR="004111A3" w:rsidRDefault="00A909B0">
            <w:pPr>
              <w:numPr>
                <w:ilvl w:val="0"/>
                <w:numId w:val="3"/>
              </w:numPr>
              <w:spacing w:before="120" w:after="120"/>
              <w:jc w:val="left"/>
              <w:rPr>
                <w:color w:val="000000"/>
                <w:sz w:val="20"/>
                <w:szCs w:val="20"/>
              </w:rPr>
            </w:pPr>
            <w:r>
              <w:rPr>
                <w:color w:val="000000"/>
                <w:sz w:val="20"/>
                <w:szCs w:val="20"/>
              </w:rPr>
              <w:t>Кількість одиниць для внутрішніх рахунків-фактур, які були фактично впроваджені (використані або вироблені) та необхідні для реалізації заходу.</w:t>
            </w:r>
          </w:p>
        </w:tc>
        <w:tc>
          <w:tcPr>
            <w:tcW w:w="1420" w:type="dxa"/>
            <w:shd w:val="clear" w:color="auto" w:fill="auto"/>
            <w:tcMar>
              <w:top w:w="0" w:type="dxa"/>
              <w:left w:w="108" w:type="dxa"/>
              <w:bottom w:w="0" w:type="dxa"/>
              <w:right w:w="108" w:type="dxa"/>
            </w:tcMar>
          </w:tcPr>
          <w:p w14:paraId="2AD98C0F"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2F9F8D13" w14:textId="77777777">
        <w:tc>
          <w:tcPr>
            <w:tcW w:w="1095" w:type="dxa"/>
            <w:vMerge/>
          </w:tcPr>
          <w:p w14:paraId="5FA36A0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1B26F37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shd w:val="clear" w:color="auto" w:fill="auto"/>
            <w:tcMar>
              <w:top w:w="0" w:type="dxa"/>
              <w:left w:w="108" w:type="dxa"/>
              <w:bottom w:w="0" w:type="dxa"/>
              <w:right w:w="108" w:type="dxa"/>
            </w:tcMar>
          </w:tcPr>
          <w:p w14:paraId="4058130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0DDE9663" w14:textId="77777777" w:rsidR="004111A3" w:rsidRDefault="00A909B0">
            <w:pPr>
              <w:numPr>
                <w:ilvl w:val="0"/>
                <w:numId w:val="3"/>
              </w:numPr>
              <w:spacing w:before="120" w:after="120"/>
              <w:jc w:val="left"/>
              <w:rPr>
                <w:color w:val="000000"/>
                <w:sz w:val="20"/>
                <w:szCs w:val="20"/>
              </w:rPr>
            </w:pPr>
            <w:r>
              <w:rPr>
                <w:color w:val="000000"/>
                <w:sz w:val="20"/>
                <w:szCs w:val="20"/>
              </w:rPr>
              <w:t>Витрати, задекларовані як внутрішні рахунки, не включають витрати, задекларовані в інших категоріях витрат.</w:t>
            </w:r>
          </w:p>
        </w:tc>
        <w:tc>
          <w:tcPr>
            <w:tcW w:w="1420" w:type="dxa"/>
            <w:shd w:val="clear" w:color="auto" w:fill="auto"/>
            <w:tcMar>
              <w:top w:w="0" w:type="dxa"/>
              <w:left w:w="108" w:type="dxa"/>
              <w:bottom w:w="0" w:type="dxa"/>
              <w:right w:w="108" w:type="dxa"/>
            </w:tcMar>
          </w:tcPr>
          <w:p w14:paraId="2F3C1933"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0F2BBF9B" w14:textId="77777777">
        <w:tc>
          <w:tcPr>
            <w:tcW w:w="1095" w:type="dxa"/>
            <w:vMerge/>
          </w:tcPr>
          <w:p w14:paraId="16F3D9B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23F2E8D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shd w:val="clear" w:color="auto" w:fill="auto"/>
            <w:tcMar>
              <w:top w:w="0" w:type="dxa"/>
              <w:left w:w="108" w:type="dxa"/>
              <w:bottom w:w="0" w:type="dxa"/>
              <w:right w:w="108" w:type="dxa"/>
            </w:tcMar>
          </w:tcPr>
          <w:p w14:paraId="38DC3B6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73DFC571" w14:textId="77777777" w:rsidR="004111A3" w:rsidRDefault="00A909B0">
            <w:pPr>
              <w:numPr>
                <w:ilvl w:val="0"/>
                <w:numId w:val="3"/>
              </w:numPr>
              <w:spacing w:before="120" w:after="120"/>
              <w:jc w:val="left"/>
              <w:rPr>
                <w:color w:val="000000"/>
                <w:sz w:val="20"/>
                <w:szCs w:val="20"/>
              </w:rPr>
            </w:pPr>
            <w:r>
              <w:rPr>
                <w:color w:val="000000"/>
                <w:sz w:val="20"/>
                <w:szCs w:val="20"/>
              </w:rPr>
              <w:t>Були виконані конкретні умови прийнятності, викладені в Грантовій угоді (за наявності).</w:t>
            </w:r>
          </w:p>
        </w:tc>
        <w:tc>
          <w:tcPr>
            <w:tcW w:w="1420" w:type="dxa"/>
            <w:shd w:val="clear" w:color="auto" w:fill="auto"/>
            <w:tcMar>
              <w:top w:w="0" w:type="dxa"/>
              <w:left w:w="108" w:type="dxa"/>
              <w:bottom w:w="0" w:type="dxa"/>
              <w:right w:w="108" w:type="dxa"/>
            </w:tcMar>
          </w:tcPr>
          <w:p w14:paraId="6AA676E3"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55E69EDF" w14:textId="77777777">
        <w:tc>
          <w:tcPr>
            <w:tcW w:w="1095" w:type="dxa"/>
            <w:vMerge/>
          </w:tcPr>
          <w:p w14:paraId="1C62485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017D2F4F"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shd w:val="clear" w:color="auto" w:fill="auto"/>
            <w:tcMar>
              <w:top w:w="0" w:type="dxa"/>
              <w:left w:w="108" w:type="dxa"/>
              <w:bottom w:w="0" w:type="dxa"/>
              <w:right w:w="108" w:type="dxa"/>
            </w:tcMar>
          </w:tcPr>
          <w:p w14:paraId="3A8CA20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4031709D" w14:textId="77777777" w:rsidR="004111A3" w:rsidRDefault="00A909B0">
            <w:pPr>
              <w:numPr>
                <w:ilvl w:val="0"/>
                <w:numId w:val="3"/>
              </w:numPr>
              <w:spacing w:before="120" w:after="120"/>
              <w:jc w:val="left"/>
              <w:rPr>
                <w:color w:val="000000"/>
                <w:sz w:val="20"/>
                <w:szCs w:val="20"/>
              </w:rPr>
            </w:pPr>
            <w:r>
              <w:rPr>
                <w:color w:val="000000"/>
                <w:sz w:val="20"/>
                <w:szCs w:val="20"/>
              </w:rPr>
              <w:t>Витрати на товари та послуги, включені до фінансового звіту, були розраховані відповідно до звичайної практики обліку витрат учасника.</w:t>
            </w:r>
          </w:p>
        </w:tc>
        <w:tc>
          <w:tcPr>
            <w:tcW w:w="1420" w:type="dxa"/>
            <w:shd w:val="clear" w:color="auto" w:fill="auto"/>
            <w:tcMar>
              <w:top w:w="0" w:type="dxa"/>
              <w:left w:w="108" w:type="dxa"/>
              <w:bottom w:w="0" w:type="dxa"/>
              <w:right w:w="108" w:type="dxa"/>
            </w:tcMar>
          </w:tcPr>
          <w:p w14:paraId="43BA1C90"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4F3C79AD" w14:textId="77777777">
        <w:tc>
          <w:tcPr>
            <w:tcW w:w="1095" w:type="dxa"/>
            <w:vMerge/>
          </w:tcPr>
          <w:p w14:paraId="0B69B3B2"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047" w:type="dxa"/>
            <w:vMerge/>
          </w:tcPr>
          <w:p w14:paraId="711F6F9B"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509" w:type="dxa"/>
            <w:vMerge/>
            <w:shd w:val="clear" w:color="auto" w:fill="auto"/>
            <w:tcMar>
              <w:top w:w="0" w:type="dxa"/>
              <w:left w:w="108" w:type="dxa"/>
              <w:bottom w:w="0" w:type="dxa"/>
              <w:right w:w="108" w:type="dxa"/>
            </w:tcMar>
          </w:tcPr>
          <w:p w14:paraId="5E097322"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shd w:val="clear" w:color="auto" w:fill="auto"/>
            <w:tcMar>
              <w:top w:w="0" w:type="dxa"/>
              <w:left w:w="108" w:type="dxa"/>
              <w:bottom w:w="0" w:type="dxa"/>
              <w:right w:w="108" w:type="dxa"/>
            </w:tcMar>
          </w:tcPr>
          <w:p w14:paraId="2B92D9DC" w14:textId="77777777" w:rsidR="004111A3" w:rsidRDefault="00A909B0">
            <w:pPr>
              <w:numPr>
                <w:ilvl w:val="0"/>
                <w:numId w:val="3"/>
              </w:numPr>
              <w:spacing w:before="120" w:after="120"/>
              <w:jc w:val="left"/>
              <w:rPr>
                <w:color w:val="000000"/>
                <w:sz w:val="20"/>
                <w:szCs w:val="20"/>
              </w:rPr>
            </w:pPr>
            <w:r>
              <w:rPr>
                <w:color w:val="000000"/>
                <w:sz w:val="20"/>
                <w:szCs w:val="20"/>
              </w:rPr>
              <w:t>Звичайна практика обліку витрат, що використовується для розрахунку вартості товарів та послуг, які оплачуються за внутрішніми рахунками, була застосована учасником послідовно, незалежно від джерела фінансування.</w:t>
            </w:r>
          </w:p>
        </w:tc>
        <w:tc>
          <w:tcPr>
            <w:tcW w:w="1420" w:type="dxa"/>
            <w:shd w:val="clear" w:color="auto" w:fill="auto"/>
            <w:tcMar>
              <w:top w:w="0" w:type="dxa"/>
              <w:left w:w="108" w:type="dxa"/>
              <w:bottom w:w="0" w:type="dxa"/>
              <w:right w:w="108" w:type="dxa"/>
            </w:tcMar>
          </w:tcPr>
          <w:p w14:paraId="3BBCA616"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70D2F417" w14:textId="77777777">
        <w:tc>
          <w:tcPr>
            <w:tcW w:w="1095" w:type="dxa"/>
            <w:vMerge/>
          </w:tcPr>
          <w:p w14:paraId="5E14B9F6"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5C2F0395"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shd w:val="clear" w:color="auto" w:fill="auto"/>
            <w:tcMar>
              <w:top w:w="0" w:type="dxa"/>
              <w:left w:w="108" w:type="dxa"/>
              <w:bottom w:w="0" w:type="dxa"/>
              <w:right w:w="108" w:type="dxa"/>
            </w:tcMar>
          </w:tcPr>
          <w:p w14:paraId="12A9569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056B3161" w14:textId="77777777" w:rsidR="004111A3" w:rsidRDefault="00A909B0">
            <w:pPr>
              <w:numPr>
                <w:ilvl w:val="0"/>
                <w:numId w:val="3"/>
              </w:numPr>
              <w:spacing w:before="120" w:after="120"/>
              <w:jc w:val="left"/>
              <w:rPr>
                <w:color w:val="000000"/>
                <w:sz w:val="20"/>
                <w:szCs w:val="20"/>
              </w:rPr>
            </w:pPr>
            <w:r>
              <w:rPr>
                <w:color w:val="000000"/>
                <w:sz w:val="20"/>
                <w:szCs w:val="20"/>
              </w:rPr>
              <w:t>Звичайною практикою учасника є розрахунок вартості одиниці товару або послуги на основі об'єктивних критеріїв, які можна перевірити.</w:t>
            </w:r>
          </w:p>
        </w:tc>
        <w:tc>
          <w:tcPr>
            <w:tcW w:w="1420" w:type="dxa"/>
            <w:shd w:val="clear" w:color="auto" w:fill="auto"/>
            <w:tcMar>
              <w:top w:w="0" w:type="dxa"/>
              <w:left w:w="108" w:type="dxa"/>
              <w:bottom w:w="0" w:type="dxa"/>
              <w:right w:w="108" w:type="dxa"/>
            </w:tcMar>
          </w:tcPr>
          <w:p w14:paraId="7C51FFE5"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6E2C0FC4" w14:textId="77777777">
        <w:tc>
          <w:tcPr>
            <w:tcW w:w="1095" w:type="dxa"/>
            <w:vMerge/>
          </w:tcPr>
          <w:p w14:paraId="67EB18F4"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047" w:type="dxa"/>
            <w:vMerge/>
          </w:tcPr>
          <w:p w14:paraId="4129398F"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509" w:type="dxa"/>
            <w:vMerge/>
            <w:shd w:val="clear" w:color="auto" w:fill="auto"/>
            <w:tcMar>
              <w:top w:w="0" w:type="dxa"/>
              <w:left w:w="108" w:type="dxa"/>
              <w:bottom w:w="0" w:type="dxa"/>
              <w:right w:w="108" w:type="dxa"/>
            </w:tcMar>
          </w:tcPr>
          <w:p w14:paraId="6591F285"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shd w:val="clear" w:color="auto" w:fill="auto"/>
            <w:tcMar>
              <w:top w:w="0" w:type="dxa"/>
              <w:left w:w="108" w:type="dxa"/>
              <w:bottom w:w="0" w:type="dxa"/>
              <w:right w:w="108" w:type="dxa"/>
            </w:tcMar>
          </w:tcPr>
          <w:p w14:paraId="2B11D4C6" w14:textId="77777777" w:rsidR="004111A3" w:rsidRDefault="00A909B0">
            <w:pPr>
              <w:numPr>
                <w:ilvl w:val="0"/>
                <w:numId w:val="3"/>
              </w:numPr>
              <w:spacing w:before="120" w:after="120"/>
              <w:jc w:val="left"/>
              <w:rPr>
                <w:color w:val="000000"/>
                <w:sz w:val="20"/>
                <w:szCs w:val="20"/>
              </w:rPr>
            </w:pPr>
            <w:r>
              <w:rPr>
                <w:color w:val="000000"/>
                <w:sz w:val="20"/>
                <w:szCs w:val="20"/>
              </w:rPr>
              <w:t>Витрати на одиницю продукції застосовуються послідовно і в інших операціях, не пов'язаних з грантами ЄС.</w:t>
            </w:r>
          </w:p>
        </w:tc>
        <w:tc>
          <w:tcPr>
            <w:tcW w:w="1420" w:type="dxa"/>
            <w:shd w:val="clear" w:color="auto" w:fill="auto"/>
            <w:tcMar>
              <w:top w:w="0" w:type="dxa"/>
              <w:left w:w="108" w:type="dxa"/>
              <w:bottom w:w="0" w:type="dxa"/>
              <w:right w:w="108" w:type="dxa"/>
            </w:tcMar>
          </w:tcPr>
          <w:p w14:paraId="661C7E74"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1BDAC8B3" w14:textId="77777777">
        <w:tc>
          <w:tcPr>
            <w:tcW w:w="1095" w:type="dxa"/>
            <w:vMerge/>
          </w:tcPr>
          <w:p w14:paraId="2B65B410"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047" w:type="dxa"/>
            <w:vMerge/>
          </w:tcPr>
          <w:p w14:paraId="77B985FA"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509" w:type="dxa"/>
            <w:vMerge/>
            <w:shd w:val="clear" w:color="auto" w:fill="auto"/>
            <w:tcMar>
              <w:top w:w="0" w:type="dxa"/>
              <w:left w:w="108" w:type="dxa"/>
              <w:bottom w:w="0" w:type="dxa"/>
              <w:right w:w="108" w:type="dxa"/>
            </w:tcMar>
          </w:tcPr>
          <w:p w14:paraId="2355C28E"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shd w:val="clear" w:color="auto" w:fill="auto"/>
            <w:tcMar>
              <w:top w:w="0" w:type="dxa"/>
              <w:left w:w="108" w:type="dxa"/>
              <w:bottom w:w="0" w:type="dxa"/>
              <w:right w:w="108" w:type="dxa"/>
            </w:tcMar>
          </w:tcPr>
          <w:p w14:paraId="2C158972" w14:textId="77777777" w:rsidR="004111A3" w:rsidRDefault="00A909B0">
            <w:pPr>
              <w:numPr>
                <w:ilvl w:val="0"/>
                <w:numId w:val="3"/>
              </w:numPr>
              <w:spacing w:before="120" w:after="120"/>
              <w:jc w:val="left"/>
              <w:rPr>
                <w:color w:val="000000"/>
                <w:sz w:val="20"/>
                <w:szCs w:val="20"/>
              </w:rPr>
            </w:pPr>
            <w:r>
              <w:rPr>
                <w:color w:val="000000"/>
                <w:sz w:val="20"/>
                <w:szCs w:val="20"/>
              </w:rPr>
              <w:t>Вартість одиниці товару або послуги розраховується на основі фактичних витрат на товар або послугу, зафіксованих у рахунках учасника, за винятком будь-яких неприйнятних витрат, витрат, включених до інших бюджетних категорій, або витрат на ресурси, які не належать учаснику і які він використовує безоплатно.</w:t>
            </w:r>
          </w:p>
        </w:tc>
        <w:tc>
          <w:tcPr>
            <w:tcW w:w="1420" w:type="dxa"/>
            <w:shd w:val="clear" w:color="auto" w:fill="auto"/>
            <w:tcMar>
              <w:top w:w="0" w:type="dxa"/>
              <w:left w:w="108" w:type="dxa"/>
              <w:bottom w:w="0" w:type="dxa"/>
              <w:right w:w="108" w:type="dxa"/>
            </w:tcMar>
          </w:tcPr>
          <w:p w14:paraId="5146954F"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2422C026" w14:textId="77777777">
        <w:tc>
          <w:tcPr>
            <w:tcW w:w="1095" w:type="dxa"/>
            <w:vMerge/>
          </w:tcPr>
          <w:p w14:paraId="33523C11"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74D7252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vMerge/>
            <w:shd w:val="clear" w:color="auto" w:fill="auto"/>
            <w:tcMar>
              <w:top w:w="0" w:type="dxa"/>
              <w:left w:w="108" w:type="dxa"/>
              <w:bottom w:w="0" w:type="dxa"/>
              <w:right w:w="108" w:type="dxa"/>
            </w:tcMar>
          </w:tcPr>
          <w:p w14:paraId="7CB82B5E"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4064A0F8" w14:textId="77777777" w:rsidR="004111A3" w:rsidRDefault="00A909B0">
            <w:pPr>
              <w:numPr>
                <w:ilvl w:val="0"/>
                <w:numId w:val="3"/>
              </w:numPr>
              <w:spacing w:before="120" w:after="120"/>
              <w:jc w:val="left"/>
              <w:rPr>
                <w:color w:val="000000"/>
                <w:sz w:val="20"/>
                <w:szCs w:val="20"/>
              </w:rPr>
            </w:pPr>
            <w:r>
              <w:rPr>
                <w:color w:val="000000"/>
                <w:sz w:val="20"/>
                <w:szCs w:val="20"/>
              </w:rPr>
              <w:t>Елементи витрат, використані для розрахунку фактичної собівартості товарів і послуг за внутрішніми рахунками, були релевантними та відповідали інформації, яку можна перевірити.</w:t>
            </w:r>
          </w:p>
        </w:tc>
        <w:tc>
          <w:tcPr>
            <w:tcW w:w="1420" w:type="dxa"/>
            <w:shd w:val="clear" w:color="auto" w:fill="auto"/>
            <w:tcMar>
              <w:top w:w="0" w:type="dxa"/>
              <w:left w:w="108" w:type="dxa"/>
              <w:bottom w:w="0" w:type="dxa"/>
              <w:right w:w="108" w:type="dxa"/>
            </w:tcMar>
          </w:tcPr>
          <w:p w14:paraId="6F80329E" w14:textId="77777777" w:rsidR="004111A3" w:rsidRDefault="00A909B0">
            <w:pPr>
              <w:spacing w:before="120" w:after="120"/>
              <w:jc w:val="center"/>
              <w:rPr>
                <w:color w:val="000000"/>
                <w:sz w:val="20"/>
                <w:szCs w:val="20"/>
                <w:highlight w:val="yellow"/>
              </w:rPr>
            </w:pPr>
            <w:r>
              <w:rPr>
                <w:color w:val="000000"/>
                <w:sz w:val="20"/>
                <w:szCs w:val="20"/>
              </w:rPr>
              <w:t>ТАК / НІ / Н.З.</w:t>
            </w:r>
          </w:p>
        </w:tc>
      </w:tr>
      <w:tr w:rsidR="004111A3" w14:paraId="401D35A5" w14:textId="77777777">
        <w:tc>
          <w:tcPr>
            <w:tcW w:w="1095" w:type="dxa"/>
            <w:vMerge/>
          </w:tcPr>
          <w:p w14:paraId="6432493E"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047" w:type="dxa"/>
            <w:vMerge/>
          </w:tcPr>
          <w:p w14:paraId="7830CEC0"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509" w:type="dxa"/>
            <w:vMerge/>
            <w:shd w:val="clear" w:color="auto" w:fill="auto"/>
            <w:tcMar>
              <w:top w:w="0" w:type="dxa"/>
              <w:left w:w="108" w:type="dxa"/>
              <w:bottom w:w="0" w:type="dxa"/>
              <w:right w:w="108" w:type="dxa"/>
            </w:tcMar>
          </w:tcPr>
          <w:p w14:paraId="037885ED"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shd w:val="clear" w:color="auto" w:fill="auto"/>
            <w:tcMar>
              <w:top w:w="0" w:type="dxa"/>
              <w:left w:w="108" w:type="dxa"/>
              <w:bottom w:w="0" w:type="dxa"/>
              <w:right w:w="108" w:type="dxa"/>
            </w:tcMar>
          </w:tcPr>
          <w:p w14:paraId="41B69769" w14:textId="77777777" w:rsidR="004111A3" w:rsidRDefault="00A909B0">
            <w:pPr>
              <w:numPr>
                <w:ilvl w:val="0"/>
                <w:numId w:val="3"/>
              </w:numPr>
              <w:spacing w:before="120" w:after="120"/>
              <w:jc w:val="left"/>
              <w:rPr>
                <w:color w:val="000000"/>
                <w:sz w:val="20"/>
                <w:szCs w:val="20"/>
              </w:rPr>
            </w:pPr>
            <w:r>
              <w:rPr>
                <w:color w:val="000000"/>
                <w:sz w:val="20"/>
                <w:szCs w:val="20"/>
              </w:rPr>
              <w:t xml:space="preserve">Витрати за елементами, що використовуються для розрахунку собівартості товарів та послуг, що </w:t>
            </w:r>
            <w:r>
              <w:rPr>
                <w:color w:val="000000"/>
                <w:sz w:val="20"/>
                <w:szCs w:val="20"/>
              </w:rPr>
              <w:lastRenderedPageBreak/>
              <w:t>обліковуються за внутрішніми рахунками, підтверджуються документально та реєструються в бухгалтерському обліку.</w:t>
            </w:r>
          </w:p>
        </w:tc>
        <w:tc>
          <w:tcPr>
            <w:tcW w:w="1420" w:type="dxa"/>
            <w:shd w:val="clear" w:color="auto" w:fill="auto"/>
            <w:tcMar>
              <w:top w:w="0" w:type="dxa"/>
              <w:left w:w="108" w:type="dxa"/>
              <w:bottom w:w="0" w:type="dxa"/>
              <w:right w:w="108" w:type="dxa"/>
            </w:tcMar>
          </w:tcPr>
          <w:p w14:paraId="14DB6778" w14:textId="77777777" w:rsidR="004111A3" w:rsidRDefault="00A909B0">
            <w:pPr>
              <w:spacing w:before="120" w:after="120"/>
              <w:jc w:val="center"/>
              <w:rPr>
                <w:color w:val="000000"/>
                <w:sz w:val="20"/>
                <w:szCs w:val="20"/>
                <w:highlight w:val="yellow"/>
              </w:rPr>
            </w:pPr>
            <w:r>
              <w:rPr>
                <w:color w:val="000000"/>
                <w:sz w:val="20"/>
                <w:szCs w:val="20"/>
              </w:rPr>
              <w:lastRenderedPageBreak/>
              <w:t>ТАК / НІ / Н.З.</w:t>
            </w:r>
          </w:p>
        </w:tc>
      </w:tr>
      <w:tr w:rsidR="004111A3" w14:paraId="65076CD7" w14:textId="77777777">
        <w:tc>
          <w:tcPr>
            <w:tcW w:w="1095" w:type="dxa"/>
            <w:vMerge/>
          </w:tcPr>
          <w:p w14:paraId="3B9FC69F"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1047" w:type="dxa"/>
            <w:vMerge/>
          </w:tcPr>
          <w:p w14:paraId="7B9386C4"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6509" w:type="dxa"/>
            <w:vMerge/>
            <w:shd w:val="clear" w:color="auto" w:fill="auto"/>
            <w:tcMar>
              <w:top w:w="0" w:type="dxa"/>
              <w:left w:w="108" w:type="dxa"/>
              <w:bottom w:w="0" w:type="dxa"/>
              <w:right w:w="108" w:type="dxa"/>
            </w:tcMar>
          </w:tcPr>
          <w:p w14:paraId="65A61891" w14:textId="77777777" w:rsidR="004111A3" w:rsidRDefault="004111A3">
            <w:pPr>
              <w:widowControl w:val="0"/>
              <w:pBdr>
                <w:top w:val="nil"/>
                <w:left w:val="nil"/>
                <w:bottom w:val="nil"/>
                <w:right w:val="nil"/>
                <w:between w:val="nil"/>
              </w:pBdr>
              <w:spacing w:after="0" w:line="276" w:lineRule="auto"/>
              <w:jc w:val="left"/>
              <w:rPr>
                <w:color w:val="000000"/>
                <w:sz w:val="20"/>
                <w:szCs w:val="20"/>
                <w:highlight w:val="yellow"/>
              </w:rPr>
            </w:pPr>
          </w:p>
        </w:tc>
        <w:tc>
          <w:tcPr>
            <w:tcW w:w="4961" w:type="dxa"/>
            <w:shd w:val="clear" w:color="auto" w:fill="auto"/>
            <w:tcMar>
              <w:top w:w="0" w:type="dxa"/>
              <w:left w:w="108" w:type="dxa"/>
              <w:bottom w:w="0" w:type="dxa"/>
              <w:right w:w="108" w:type="dxa"/>
            </w:tcMar>
          </w:tcPr>
          <w:p w14:paraId="30096D2F" w14:textId="77777777" w:rsidR="004111A3" w:rsidRDefault="00A909B0">
            <w:pPr>
              <w:numPr>
                <w:ilvl w:val="0"/>
                <w:numId w:val="3"/>
              </w:numPr>
              <w:spacing w:before="120" w:after="120"/>
              <w:jc w:val="left"/>
              <w:rPr>
                <w:color w:val="000000"/>
                <w:sz w:val="20"/>
                <w:szCs w:val="20"/>
              </w:rPr>
            </w:pPr>
            <w:r>
              <w:rPr>
                <w:color w:val="000000"/>
                <w:sz w:val="20"/>
                <w:szCs w:val="20"/>
              </w:rPr>
              <w:t>Використовуються ключі розподілу, визначені у звичайній практиці обліку витрат учасника, що застосовується для проектів, які не фінансуються ЄС.</w:t>
            </w:r>
          </w:p>
        </w:tc>
        <w:tc>
          <w:tcPr>
            <w:tcW w:w="1420" w:type="dxa"/>
            <w:shd w:val="clear" w:color="auto" w:fill="auto"/>
            <w:tcMar>
              <w:top w:w="0" w:type="dxa"/>
              <w:left w:w="108" w:type="dxa"/>
              <w:bottom w:w="0" w:type="dxa"/>
              <w:right w:w="108" w:type="dxa"/>
            </w:tcMar>
          </w:tcPr>
          <w:p w14:paraId="74AE7D3C"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58FAA604" w14:textId="77777777">
        <w:tc>
          <w:tcPr>
            <w:tcW w:w="1095" w:type="dxa"/>
            <w:vMerge/>
          </w:tcPr>
          <w:p w14:paraId="68E772A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047" w:type="dxa"/>
            <w:vMerge/>
          </w:tcPr>
          <w:p w14:paraId="12268F38"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09" w:type="dxa"/>
            <w:shd w:val="clear" w:color="auto" w:fill="auto"/>
            <w:tcMar>
              <w:top w:w="0" w:type="dxa"/>
              <w:left w:w="108" w:type="dxa"/>
              <w:bottom w:w="0" w:type="dxa"/>
              <w:right w:w="108" w:type="dxa"/>
            </w:tcMar>
          </w:tcPr>
          <w:p w14:paraId="6C51184E" w14:textId="77777777" w:rsidR="004111A3" w:rsidRDefault="00A909B0">
            <w:pPr>
              <w:numPr>
                <w:ilvl w:val="0"/>
                <w:numId w:val="2"/>
              </w:numPr>
              <w:spacing w:before="120" w:after="120"/>
              <w:ind w:left="504" w:hanging="330"/>
              <w:jc w:val="left"/>
              <w:rPr>
                <w:rFonts w:ascii="Calibri" w:eastAsia="Calibri" w:hAnsi="Calibri" w:cs="Calibri"/>
                <w:color w:val="000000"/>
                <w:sz w:val="20"/>
                <w:szCs w:val="20"/>
              </w:rPr>
            </w:pPr>
            <w:r>
              <w:rPr>
                <w:color w:val="7030A0"/>
                <w:sz w:val="20"/>
                <w:szCs w:val="20"/>
              </w:rPr>
              <w:t xml:space="preserve">для "Горизонт Європа": </w:t>
            </w:r>
            <w:r>
              <w:t xml:space="preserve"> </w:t>
            </w:r>
            <w:r>
              <w:rPr>
                <w:color w:val="000000"/>
                <w:sz w:val="20"/>
                <w:szCs w:val="20"/>
              </w:rPr>
              <w:t>перевірив, що сума за одиницю товару чи послуги, що надається власними силами, була розрахована з використанням фактичних прямих і непрямих витрат, відображених у рахунках учасника, віднесених або шляхом прямого вимірювання, або на основі факторів витрат відповідно до бухгалтерських практик учасника.</w:t>
            </w:r>
          </w:p>
        </w:tc>
        <w:tc>
          <w:tcPr>
            <w:tcW w:w="4961" w:type="dxa"/>
            <w:shd w:val="clear" w:color="auto" w:fill="auto"/>
            <w:tcMar>
              <w:top w:w="0" w:type="dxa"/>
              <w:left w:w="108" w:type="dxa"/>
              <w:bottom w:w="0" w:type="dxa"/>
              <w:right w:w="108" w:type="dxa"/>
            </w:tcMar>
          </w:tcPr>
          <w:p w14:paraId="7E1E54AE" w14:textId="77777777" w:rsidR="004111A3" w:rsidRDefault="00A909B0">
            <w:pPr>
              <w:numPr>
                <w:ilvl w:val="0"/>
                <w:numId w:val="3"/>
              </w:numPr>
              <w:spacing w:before="120" w:after="120"/>
              <w:jc w:val="left"/>
              <w:rPr>
                <w:color w:val="000000"/>
                <w:sz w:val="20"/>
                <w:szCs w:val="20"/>
              </w:rPr>
            </w:pPr>
            <w:r>
              <w:rPr>
                <w:color w:val="000000"/>
                <w:sz w:val="20"/>
                <w:szCs w:val="20"/>
              </w:rPr>
              <w:t>Сума за одиницю була розрахована з використанням фактичних прямих і непрямих витрат, зафіксованих на рахунках учасника, віднесених або шляхом прямого вимірювання, або на основі факторів витрат, визначених у звичайній практиці обліку витрат учасника.</w:t>
            </w:r>
          </w:p>
        </w:tc>
        <w:tc>
          <w:tcPr>
            <w:tcW w:w="1420" w:type="dxa"/>
            <w:shd w:val="clear" w:color="auto" w:fill="auto"/>
            <w:tcMar>
              <w:top w:w="0" w:type="dxa"/>
              <w:left w:w="108" w:type="dxa"/>
              <w:bottom w:w="0" w:type="dxa"/>
              <w:right w:w="108" w:type="dxa"/>
            </w:tcMar>
          </w:tcPr>
          <w:p w14:paraId="6CA38A39" w14:textId="77777777" w:rsidR="004111A3" w:rsidRDefault="00A909B0">
            <w:pPr>
              <w:spacing w:before="120" w:after="120"/>
              <w:jc w:val="center"/>
              <w:rPr>
                <w:color w:val="000000"/>
                <w:sz w:val="20"/>
                <w:szCs w:val="20"/>
              </w:rPr>
            </w:pPr>
            <w:r>
              <w:rPr>
                <w:color w:val="000000"/>
                <w:sz w:val="20"/>
                <w:szCs w:val="20"/>
              </w:rPr>
              <w:t>ТАК / НІ / Н.З.</w:t>
            </w:r>
          </w:p>
        </w:tc>
      </w:tr>
    </w:tbl>
    <w:p w14:paraId="22BFC44B" w14:textId="77777777" w:rsidR="004111A3" w:rsidRDefault="004111A3"/>
    <w:p w14:paraId="31DA26BF"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Непрямі витрати (E.)</w:t>
      </w:r>
    </w:p>
    <w:tbl>
      <w:tblPr>
        <w:tblStyle w:val="afff6"/>
        <w:tblpPr w:leftFromText="180" w:rightFromText="180" w:vertAnchor="text" w:tblpY="1"/>
        <w:tblW w:w="15183"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142"/>
        <w:gridCol w:w="1134"/>
        <w:gridCol w:w="6526"/>
        <w:gridCol w:w="4963"/>
        <w:gridCol w:w="1418"/>
      </w:tblGrid>
      <w:tr w:rsidR="004111A3" w14:paraId="2BAC222D" w14:textId="77777777">
        <w:trPr>
          <w:tblHeader/>
        </w:trPr>
        <w:tc>
          <w:tcPr>
            <w:tcW w:w="15183" w:type="dxa"/>
            <w:gridSpan w:val="5"/>
            <w:shd w:val="clear" w:color="auto" w:fill="EBF1DD"/>
          </w:tcPr>
          <w:p w14:paraId="190D3B64" w14:textId="77777777" w:rsidR="004111A3" w:rsidRDefault="00A909B0">
            <w:pPr>
              <w:spacing w:before="120" w:after="120"/>
              <w:ind w:left="142"/>
              <w:jc w:val="left"/>
              <w:rPr>
                <w:b/>
                <w:color w:val="000000"/>
                <w:sz w:val="20"/>
                <w:szCs w:val="20"/>
              </w:rPr>
            </w:pPr>
            <w:r>
              <w:rPr>
                <w:b/>
                <w:color w:val="FF0000"/>
              </w:rPr>
              <w:t>ПОГОДЖЕНІ CFS ПРОЦЕДУРИ - Непрямі витрати (E.)</w:t>
            </w:r>
          </w:p>
        </w:tc>
      </w:tr>
      <w:tr w:rsidR="004111A3" w14:paraId="2351ABD9" w14:textId="77777777">
        <w:trPr>
          <w:tblHeader/>
        </w:trPr>
        <w:tc>
          <w:tcPr>
            <w:tcW w:w="1142" w:type="dxa"/>
            <w:shd w:val="clear" w:color="auto" w:fill="EBF1DD"/>
          </w:tcPr>
          <w:p w14:paraId="05A7F0B1"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134" w:type="dxa"/>
            <w:shd w:val="clear" w:color="auto" w:fill="EBF1DD"/>
          </w:tcPr>
          <w:p w14:paraId="16C96FB3"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526" w:type="dxa"/>
            <w:shd w:val="clear" w:color="auto" w:fill="EBF1DD"/>
            <w:tcMar>
              <w:top w:w="0" w:type="dxa"/>
              <w:left w:w="108" w:type="dxa"/>
              <w:bottom w:w="0" w:type="dxa"/>
              <w:right w:w="108" w:type="dxa"/>
            </w:tcMar>
            <w:vAlign w:val="center"/>
          </w:tcPr>
          <w:p w14:paraId="48CEDEBF" w14:textId="77777777" w:rsidR="004111A3" w:rsidRDefault="00A909B0">
            <w:pPr>
              <w:spacing w:before="120" w:after="120"/>
              <w:jc w:val="center"/>
              <w:rPr>
                <w:color w:val="000000"/>
                <w:sz w:val="20"/>
                <w:szCs w:val="20"/>
              </w:rPr>
            </w:pPr>
            <w:r>
              <w:rPr>
                <w:b/>
                <w:color w:val="000000"/>
                <w:sz w:val="20"/>
                <w:szCs w:val="20"/>
              </w:rPr>
              <w:t>Процедури</w:t>
            </w:r>
          </w:p>
        </w:tc>
        <w:tc>
          <w:tcPr>
            <w:tcW w:w="4963" w:type="dxa"/>
            <w:shd w:val="clear" w:color="auto" w:fill="EBF1DD"/>
            <w:tcMar>
              <w:top w:w="0" w:type="dxa"/>
              <w:left w:w="108" w:type="dxa"/>
              <w:bottom w:w="0" w:type="dxa"/>
              <w:right w:w="108" w:type="dxa"/>
            </w:tcMar>
            <w:vAlign w:val="center"/>
          </w:tcPr>
          <w:p w14:paraId="4344327C"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418" w:type="dxa"/>
            <w:shd w:val="clear" w:color="auto" w:fill="EBF1DD"/>
            <w:tcMar>
              <w:top w:w="0" w:type="dxa"/>
              <w:left w:w="108" w:type="dxa"/>
              <w:bottom w:w="0" w:type="dxa"/>
              <w:right w:w="108" w:type="dxa"/>
            </w:tcMar>
            <w:vAlign w:val="center"/>
          </w:tcPr>
          <w:p w14:paraId="2A518482" w14:textId="77777777" w:rsidR="004111A3" w:rsidRDefault="00A909B0">
            <w:pPr>
              <w:spacing w:before="120" w:after="120"/>
              <w:jc w:val="center"/>
              <w:rPr>
                <w:b/>
                <w:color w:val="000000"/>
                <w:sz w:val="20"/>
                <w:szCs w:val="20"/>
              </w:rPr>
            </w:pPr>
            <w:r>
              <w:rPr>
                <w:b/>
                <w:color w:val="000000"/>
                <w:sz w:val="20"/>
                <w:szCs w:val="20"/>
              </w:rPr>
              <w:t>Результат</w:t>
            </w:r>
          </w:p>
          <w:p w14:paraId="14553151" w14:textId="77777777" w:rsidR="004111A3" w:rsidRDefault="00A909B0">
            <w:pPr>
              <w:spacing w:before="120" w:after="120"/>
              <w:ind w:left="-107"/>
              <w:jc w:val="center"/>
              <w:rPr>
                <w:b/>
                <w:color w:val="000000"/>
                <w:sz w:val="20"/>
                <w:szCs w:val="20"/>
              </w:rPr>
            </w:pPr>
            <w:r>
              <w:rPr>
                <w:b/>
                <w:color w:val="000000"/>
                <w:sz w:val="20"/>
                <w:szCs w:val="20"/>
              </w:rPr>
              <w:t>(ТАК / НІ / Н.З.)</w:t>
            </w:r>
          </w:p>
        </w:tc>
      </w:tr>
      <w:tr w:rsidR="004111A3" w14:paraId="25E63C67" w14:textId="77777777">
        <w:tc>
          <w:tcPr>
            <w:tcW w:w="1142" w:type="dxa"/>
            <w:shd w:val="clear" w:color="auto" w:fill="EBF1DD"/>
          </w:tcPr>
          <w:p w14:paraId="0F3A58E2" w14:textId="77777777" w:rsidR="004111A3" w:rsidRDefault="00A909B0">
            <w:pPr>
              <w:spacing w:before="120" w:after="120"/>
              <w:jc w:val="center"/>
              <w:rPr>
                <w:b/>
                <w:color w:val="000000"/>
                <w:sz w:val="20"/>
                <w:szCs w:val="20"/>
              </w:rPr>
            </w:pPr>
            <w:r>
              <w:rPr>
                <w:b/>
                <w:color w:val="000000"/>
                <w:sz w:val="20"/>
                <w:szCs w:val="20"/>
              </w:rPr>
              <w:t>Стаття 6.2.E</w:t>
            </w:r>
          </w:p>
        </w:tc>
        <w:tc>
          <w:tcPr>
            <w:tcW w:w="1134" w:type="dxa"/>
            <w:shd w:val="clear" w:color="auto" w:fill="EBF1DD"/>
            <w:vAlign w:val="center"/>
          </w:tcPr>
          <w:p w14:paraId="4C70A0A8" w14:textId="77777777" w:rsidR="004111A3" w:rsidRDefault="00A909B0">
            <w:pPr>
              <w:spacing w:before="120" w:after="120"/>
              <w:jc w:val="center"/>
              <w:rPr>
                <w:b/>
                <w:color w:val="000000"/>
                <w:sz w:val="20"/>
                <w:szCs w:val="20"/>
              </w:rPr>
            </w:pPr>
            <w:r>
              <w:rPr>
                <w:b/>
                <w:color w:val="000000"/>
                <w:sz w:val="20"/>
                <w:szCs w:val="20"/>
              </w:rPr>
              <w:t>E.</w:t>
            </w:r>
          </w:p>
        </w:tc>
        <w:tc>
          <w:tcPr>
            <w:tcW w:w="12907" w:type="dxa"/>
            <w:gridSpan w:val="3"/>
            <w:shd w:val="clear" w:color="auto" w:fill="EBF1DD"/>
          </w:tcPr>
          <w:p w14:paraId="17D01C9C" w14:textId="77777777" w:rsidR="004111A3" w:rsidRDefault="00A909B0">
            <w:pPr>
              <w:spacing w:before="120" w:after="120"/>
              <w:ind w:left="132"/>
              <w:rPr>
                <w:color w:val="000000"/>
                <w:sz w:val="20"/>
                <w:szCs w:val="20"/>
              </w:rPr>
            </w:pPr>
            <w:r>
              <w:rPr>
                <w:b/>
                <w:color w:val="000000"/>
                <w:sz w:val="20"/>
                <w:szCs w:val="20"/>
              </w:rPr>
              <w:t>НЕПРЯМІ ВИТРАТИ</w:t>
            </w:r>
          </w:p>
        </w:tc>
      </w:tr>
      <w:tr w:rsidR="004111A3" w14:paraId="0521841C" w14:textId="77777777">
        <w:tc>
          <w:tcPr>
            <w:tcW w:w="1142" w:type="dxa"/>
          </w:tcPr>
          <w:p w14:paraId="0CA809F2" w14:textId="77777777" w:rsidR="004111A3" w:rsidRDefault="00A909B0">
            <w:pPr>
              <w:spacing w:before="120" w:after="120"/>
              <w:jc w:val="center"/>
              <w:rPr>
                <w:b/>
                <w:color w:val="000000"/>
                <w:sz w:val="20"/>
                <w:szCs w:val="20"/>
              </w:rPr>
            </w:pPr>
            <w:r>
              <w:rPr>
                <w:b/>
                <w:color w:val="000000"/>
                <w:sz w:val="20"/>
                <w:szCs w:val="20"/>
              </w:rPr>
              <w:t>Стаття 6.2.E</w:t>
            </w:r>
          </w:p>
        </w:tc>
        <w:tc>
          <w:tcPr>
            <w:tcW w:w="1134" w:type="dxa"/>
          </w:tcPr>
          <w:p w14:paraId="25924A2E" w14:textId="77777777" w:rsidR="004111A3" w:rsidRDefault="00A909B0">
            <w:pPr>
              <w:spacing w:before="120" w:after="120"/>
              <w:jc w:val="center"/>
              <w:rPr>
                <w:b/>
                <w:color w:val="000000"/>
                <w:sz w:val="20"/>
                <w:szCs w:val="20"/>
              </w:rPr>
            </w:pPr>
            <w:r>
              <w:rPr>
                <w:b/>
                <w:color w:val="000000"/>
                <w:sz w:val="20"/>
                <w:szCs w:val="20"/>
              </w:rPr>
              <w:t>E.</w:t>
            </w:r>
            <w:r>
              <w:t xml:space="preserve"> </w:t>
            </w:r>
            <w:r>
              <w:rPr>
                <w:b/>
                <w:color w:val="000000"/>
                <w:sz w:val="20"/>
                <w:szCs w:val="20"/>
              </w:rPr>
              <w:t>НЕПРЯМІ ВИТРАТИ</w:t>
            </w:r>
          </w:p>
          <w:p w14:paraId="78348233" w14:textId="77777777" w:rsidR="004111A3" w:rsidRDefault="00A909B0">
            <w:pPr>
              <w:spacing w:before="120" w:after="120"/>
              <w:jc w:val="center"/>
              <w:rPr>
                <w:b/>
                <w:color w:val="000000"/>
                <w:sz w:val="20"/>
                <w:szCs w:val="20"/>
              </w:rPr>
            </w:pPr>
            <w:r>
              <w:rPr>
                <w:b/>
                <w:color w:val="000000"/>
                <w:sz w:val="20"/>
                <w:szCs w:val="20"/>
              </w:rPr>
              <w:lastRenderedPageBreak/>
              <w:t>Якщо з фіксованою ставкою:</w:t>
            </w:r>
          </w:p>
          <w:p w14:paraId="1173E746" w14:textId="77777777" w:rsidR="004111A3" w:rsidRDefault="00A909B0">
            <w:pPr>
              <w:spacing w:before="120" w:after="120"/>
              <w:jc w:val="center"/>
              <w:rPr>
                <w:b/>
                <w:color w:val="000000"/>
                <w:sz w:val="20"/>
                <w:szCs w:val="20"/>
              </w:rPr>
            </w:pPr>
            <w:r>
              <w:rPr>
                <w:i/>
                <w:color w:val="7030A0"/>
                <w:sz w:val="20"/>
                <w:szCs w:val="20"/>
              </w:rPr>
              <w:t>(обов'язковий для всіх програм; опція в EDF)</w:t>
            </w:r>
          </w:p>
        </w:tc>
        <w:tc>
          <w:tcPr>
            <w:tcW w:w="12907" w:type="dxa"/>
            <w:gridSpan w:val="3"/>
            <w:shd w:val="clear" w:color="auto" w:fill="F2F2F2"/>
            <w:tcMar>
              <w:top w:w="0" w:type="dxa"/>
              <w:left w:w="108" w:type="dxa"/>
              <w:bottom w:w="0" w:type="dxa"/>
              <w:right w:w="108" w:type="dxa"/>
            </w:tcMar>
          </w:tcPr>
          <w:p w14:paraId="267C2EF0" w14:textId="77777777" w:rsidR="004111A3" w:rsidRDefault="00A909B0">
            <w:pPr>
              <w:spacing w:before="120" w:after="120"/>
              <w:rPr>
                <w:color w:val="000000"/>
                <w:sz w:val="20"/>
                <w:szCs w:val="20"/>
              </w:rPr>
            </w:pPr>
            <w:r>
              <w:rPr>
                <w:color w:val="000000"/>
                <w:sz w:val="20"/>
                <w:szCs w:val="20"/>
              </w:rPr>
              <w:lastRenderedPageBreak/>
              <w:t>Н/З</w:t>
            </w:r>
          </w:p>
        </w:tc>
      </w:tr>
    </w:tbl>
    <w:p w14:paraId="71D5CE41" w14:textId="77777777" w:rsidR="004111A3" w:rsidRDefault="004111A3">
      <w:pPr>
        <w:spacing w:line="276" w:lineRule="auto"/>
        <w:jc w:val="left"/>
        <w:rPr>
          <w:sz w:val="22"/>
          <w:szCs w:val="22"/>
        </w:rPr>
      </w:pPr>
    </w:p>
    <w:p w14:paraId="32569AA3"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Валюта фінансової звітності та конвертація в євро</w:t>
      </w:r>
    </w:p>
    <w:tbl>
      <w:tblPr>
        <w:tblStyle w:val="afff7"/>
        <w:tblpPr w:leftFromText="180" w:rightFromText="180" w:vertAnchor="text" w:tblpY="1"/>
        <w:tblW w:w="15183"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144"/>
        <w:gridCol w:w="1134"/>
        <w:gridCol w:w="6526"/>
        <w:gridCol w:w="4961"/>
        <w:gridCol w:w="1418"/>
      </w:tblGrid>
      <w:tr w:rsidR="004111A3" w14:paraId="57EC4CC3" w14:textId="77777777">
        <w:trPr>
          <w:tblHeader/>
        </w:trPr>
        <w:tc>
          <w:tcPr>
            <w:tcW w:w="15183" w:type="dxa"/>
            <w:gridSpan w:val="5"/>
            <w:shd w:val="clear" w:color="auto" w:fill="EBF1DD"/>
          </w:tcPr>
          <w:p w14:paraId="3F771EFB" w14:textId="77777777" w:rsidR="004111A3" w:rsidRDefault="00A909B0">
            <w:pPr>
              <w:spacing w:before="120" w:after="120"/>
              <w:ind w:left="142"/>
              <w:jc w:val="left"/>
              <w:rPr>
                <w:b/>
                <w:color w:val="000000"/>
                <w:sz w:val="20"/>
                <w:szCs w:val="20"/>
              </w:rPr>
            </w:pPr>
            <w:r>
              <w:rPr>
                <w:b/>
                <w:color w:val="FF0000"/>
              </w:rPr>
              <w:t>Узгоджені процедури CFS - Валюта для фінансової звітності та конвертація в євро</w:t>
            </w:r>
          </w:p>
        </w:tc>
      </w:tr>
      <w:tr w:rsidR="004111A3" w14:paraId="5D0B64C9" w14:textId="77777777">
        <w:trPr>
          <w:tblHeader/>
        </w:trPr>
        <w:tc>
          <w:tcPr>
            <w:tcW w:w="1144" w:type="dxa"/>
            <w:shd w:val="clear" w:color="auto" w:fill="EBF1DD"/>
          </w:tcPr>
          <w:p w14:paraId="1F49BCEB"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134" w:type="dxa"/>
            <w:shd w:val="clear" w:color="auto" w:fill="EBF1DD"/>
          </w:tcPr>
          <w:p w14:paraId="6AE1424F"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526" w:type="dxa"/>
            <w:shd w:val="clear" w:color="auto" w:fill="EBF1DD"/>
            <w:tcMar>
              <w:top w:w="0" w:type="dxa"/>
              <w:left w:w="108" w:type="dxa"/>
              <w:bottom w:w="0" w:type="dxa"/>
              <w:right w:w="108" w:type="dxa"/>
            </w:tcMar>
            <w:vAlign w:val="center"/>
          </w:tcPr>
          <w:p w14:paraId="5EB9C0B7" w14:textId="77777777" w:rsidR="004111A3" w:rsidRDefault="00A909B0">
            <w:pPr>
              <w:spacing w:before="120" w:after="120"/>
              <w:jc w:val="center"/>
              <w:rPr>
                <w:color w:val="000000"/>
                <w:sz w:val="20"/>
                <w:szCs w:val="20"/>
              </w:rPr>
            </w:pPr>
            <w:r>
              <w:rPr>
                <w:b/>
                <w:color w:val="000000"/>
                <w:sz w:val="20"/>
                <w:szCs w:val="20"/>
              </w:rPr>
              <w:t>Процедури</w:t>
            </w:r>
          </w:p>
        </w:tc>
        <w:tc>
          <w:tcPr>
            <w:tcW w:w="4961" w:type="dxa"/>
            <w:shd w:val="clear" w:color="auto" w:fill="EBF1DD"/>
            <w:tcMar>
              <w:top w:w="0" w:type="dxa"/>
              <w:left w:w="108" w:type="dxa"/>
              <w:bottom w:w="0" w:type="dxa"/>
              <w:right w:w="108" w:type="dxa"/>
            </w:tcMar>
            <w:vAlign w:val="center"/>
          </w:tcPr>
          <w:p w14:paraId="17231B9A"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418" w:type="dxa"/>
            <w:shd w:val="clear" w:color="auto" w:fill="EBF1DD"/>
            <w:tcMar>
              <w:top w:w="0" w:type="dxa"/>
              <w:left w:w="108" w:type="dxa"/>
              <w:bottom w:w="0" w:type="dxa"/>
              <w:right w:w="108" w:type="dxa"/>
            </w:tcMar>
            <w:vAlign w:val="center"/>
          </w:tcPr>
          <w:p w14:paraId="38E6A4BC" w14:textId="77777777" w:rsidR="004111A3" w:rsidRDefault="00A909B0">
            <w:pPr>
              <w:spacing w:before="120" w:after="120"/>
              <w:jc w:val="center"/>
              <w:rPr>
                <w:b/>
                <w:color w:val="000000"/>
                <w:sz w:val="20"/>
                <w:szCs w:val="20"/>
              </w:rPr>
            </w:pPr>
            <w:r>
              <w:rPr>
                <w:b/>
                <w:color w:val="000000"/>
                <w:sz w:val="20"/>
                <w:szCs w:val="20"/>
              </w:rPr>
              <w:t>Результат</w:t>
            </w:r>
          </w:p>
          <w:p w14:paraId="034A8636" w14:textId="77777777" w:rsidR="004111A3" w:rsidRDefault="00A909B0">
            <w:pPr>
              <w:spacing w:before="120" w:after="120"/>
              <w:ind w:left="-107"/>
              <w:jc w:val="center"/>
              <w:rPr>
                <w:b/>
                <w:color w:val="000000"/>
                <w:sz w:val="20"/>
                <w:szCs w:val="20"/>
              </w:rPr>
            </w:pPr>
            <w:r>
              <w:rPr>
                <w:b/>
                <w:color w:val="000000"/>
                <w:sz w:val="20"/>
                <w:szCs w:val="20"/>
              </w:rPr>
              <w:t>(ТАК / НІ / Н.З.)</w:t>
            </w:r>
          </w:p>
        </w:tc>
      </w:tr>
      <w:tr w:rsidR="004111A3" w14:paraId="5D97D2BA" w14:textId="77777777">
        <w:tc>
          <w:tcPr>
            <w:tcW w:w="1144" w:type="dxa"/>
            <w:shd w:val="clear" w:color="auto" w:fill="EBF1DD"/>
          </w:tcPr>
          <w:p w14:paraId="19266271" w14:textId="77777777" w:rsidR="004111A3" w:rsidRDefault="00A909B0">
            <w:pPr>
              <w:spacing w:before="120" w:after="120"/>
              <w:jc w:val="center"/>
              <w:rPr>
                <w:b/>
                <w:color w:val="000000"/>
                <w:sz w:val="20"/>
                <w:szCs w:val="20"/>
              </w:rPr>
            </w:pPr>
            <w:r>
              <w:rPr>
                <w:b/>
                <w:color w:val="000000"/>
                <w:sz w:val="20"/>
                <w:szCs w:val="20"/>
              </w:rPr>
              <w:t>Стаття 21.3</w:t>
            </w:r>
          </w:p>
        </w:tc>
        <w:tc>
          <w:tcPr>
            <w:tcW w:w="1134" w:type="dxa"/>
            <w:shd w:val="clear" w:color="auto" w:fill="EBF1DD"/>
          </w:tcPr>
          <w:p w14:paraId="709B5759" w14:textId="77777777" w:rsidR="004111A3" w:rsidRDefault="004111A3">
            <w:pPr>
              <w:spacing w:before="120" w:after="120"/>
              <w:jc w:val="center"/>
              <w:rPr>
                <w:b/>
                <w:color w:val="000000"/>
                <w:sz w:val="20"/>
                <w:szCs w:val="20"/>
              </w:rPr>
            </w:pPr>
          </w:p>
        </w:tc>
        <w:tc>
          <w:tcPr>
            <w:tcW w:w="12905" w:type="dxa"/>
            <w:gridSpan w:val="3"/>
            <w:shd w:val="clear" w:color="auto" w:fill="EBF1DD"/>
          </w:tcPr>
          <w:p w14:paraId="1272EA6B" w14:textId="77777777" w:rsidR="004111A3" w:rsidRDefault="00A909B0">
            <w:pPr>
              <w:spacing w:before="120" w:after="120"/>
              <w:ind w:left="139"/>
              <w:jc w:val="left"/>
              <w:rPr>
                <w:b/>
                <w:color w:val="000000"/>
                <w:sz w:val="20"/>
                <w:szCs w:val="20"/>
              </w:rPr>
            </w:pPr>
            <w:r>
              <w:rPr>
                <w:b/>
                <w:color w:val="000000"/>
                <w:sz w:val="20"/>
                <w:szCs w:val="20"/>
              </w:rPr>
              <w:t>ВАЛЮТА ДЛЯ ФІНАНСОВОЇ ЗВІТНОСТІ ТА КОНВЕРТАЦІЯ В ЄВРО</w:t>
            </w:r>
          </w:p>
        </w:tc>
      </w:tr>
      <w:tr w:rsidR="004111A3" w14:paraId="4E4C3F3F" w14:textId="77777777">
        <w:tc>
          <w:tcPr>
            <w:tcW w:w="1144" w:type="dxa"/>
          </w:tcPr>
          <w:p w14:paraId="247C0AD4" w14:textId="77777777" w:rsidR="004111A3" w:rsidRDefault="00A909B0">
            <w:pPr>
              <w:spacing w:before="120" w:after="120"/>
              <w:jc w:val="center"/>
              <w:rPr>
                <w:b/>
                <w:color w:val="000000"/>
                <w:sz w:val="20"/>
                <w:szCs w:val="20"/>
              </w:rPr>
            </w:pPr>
            <w:r>
              <w:rPr>
                <w:b/>
                <w:color w:val="000000"/>
                <w:sz w:val="20"/>
                <w:szCs w:val="20"/>
              </w:rPr>
              <w:t>Стаття 21.3</w:t>
            </w:r>
          </w:p>
        </w:tc>
        <w:tc>
          <w:tcPr>
            <w:tcW w:w="1134" w:type="dxa"/>
          </w:tcPr>
          <w:p w14:paraId="45B83803" w14:textId="77777777" w:rsidR="004111A3" w:rsidRDefault="00A909B0">
            <w:pPr>
              <w:spacing w:before="120" w:after="120"/>
              <w:jc w:val="center"/>
              <w:rPr>
                <w:b/>
                <w:color w:val="000000"/>
                <w:sz w:val="20"/>
                <w:szCs w:val="20"/>
              </w:rPr>
            </w:pPr>
            <w:r>
              <w:rPr>
                <w:b/>
                <w:color w:val="000000"/>
                <w:sz w:val="20"/>
                <w:szCs w:val="20"/>
              </w:rPr>
              <w:t>КОНВЕРТАЦІЯ ВАЛЮТ</w:t>
            </w:r>
          </w:p>
        </w:tc>
        <w:tc>
          <w:tcPr>
            <w:tcW w:w="6526" w:type="dxa"/>
            <w:shd w:val="clear" w:color="auto" w:fill="auto"/>
            <w:tcMar>
              <w:top w:w="0" w:type="dxa"/>
              <w:left w:w="108" w:type="dxa"/>
              <w:bottom w:w="0" w:type="dxa"/>
              <w:right w:w="108" w:type="dxa"/>
            </w:tcMar>
          </w:tcPr>
          <w:p w14:paraId="4749B27E" w14:textId="77777777" w:rsidR="004111A3" w:rsidRDefault="00A909B0">
            <w:pPr>
              <w:spacing w:before="120" w:after="120"/>
              <w:jc w:val="left"/>
              <w:rPr>
                <w:b/>
                <w:i/>
                <w:color w:val="000000"/>
                <w:sz w:val="20"/>
                <w:szCs w:val="20"/>
              </w:rPr>
            </w:pPr>
            <w:r>
              <w:rPr>
                <w:b/>
                <w:i/>
                <w:color w:val="000000"/>
                <w:sz w:val="20"/>
                <w:szCs w:val="20"/>
              </w:rPr>
              <w:t>Для зразків з усіх цінових категорій:</w:t>
            </w:r>
          </w:p>
          <w:p w14:paraId="715158B9"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Щоб підтвердити стандартні висновки, наведені в наступній колонці, фахівець переглянув відібрані зразки в усіх категоріях витрат на предмет витрат, понесених у валютах, відмінних від євро, і зробив відповідну перевірку:</w:t>
            </w:r>
          </w:p>
          <w:p w14:paraId="58C59FF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для учасників, рахунки яких відкриті в євро: витрати, понесені в іншій валюті, були конвертовані в євро із застосуванням звичайної бухгалтерської практики учасника</w:t>
            </w:r>
          </w:p>
          <w:p w14:paraId="3096191A"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 xml:space="preserve">для учасників з рахунками, відкритими у валюті, відмінній від євро: обмінні курси, що використовувалися для конвертації місцевої валюти в євро або інших валют у місцеву валюту, були відповідно до ст. 21.3 ГУ та відповідного розділу. </w:t>
            </w:r>
            <w:hyperlink r:id="rId18">
              <w:r>
                <w:rPr>
                  <w:color w:val="0088CC"/>
                  <w:sz w:val="20"/>
                  <w:szCs w:val="20"/>
                  <w:u w:val="single"/>
                </w:rPr>
                <w:t xml:space="preserve">AGA — </w:t>
              </w:r>
              <w:proofErr w:type="spellStart"/>
              <w:r>
                <w:rPr>
                  <w:color w:val="0088CC"/>
                  <w:sz w:val="20"/>
                  <w:szCs w:val="20"/>
                  <w:u w:val="single"/>
                </w:rPr>
                <w:t>Annotated</w:t>
              </w:r>
              <w:proofErr w:type="spellEnd"/>
              <w:r>
                <w:rPr>
                  <w:color w:val="0088CC"/>
                  <w:sz w:val="20"/>
                  <w:szCs w:val="20"/>
                  <w:u w:val="single"/>
                </w:rPr>
                <w:t xml:space="preserve"> </w:t>
              </w:r>
              <w:proofErr w:type="spellStart"/>
              <w:r>
                <w:rPr>
                  <w:color w:val="0088CC"/>
                  <w:sz w:val="20"/>
                  <w:szCs w:val="20"/>
                  <w:u w:val="single"/>
                </w:rPr>
                <w:t>Grant</w:t>
              </w:r>
              <w:proofErr w:type="spellEnd"/>
              <w:r>
                <w:rPr>
                  <w:color w:val="0088CC"/>
                  <w:sz w:val="20"/>
                  <w:szCs w:val="20"/>
                  <w:u w:val="single"/>
                </w:rPr>
                <w:t xml:space="preserve"> </w:t>
              </w:r>
              <w:proofErr w:type="spellStart"/>
              <w:r>
                <w:rPr>
                  <w:color w:val="0088CC"/>
                  <w:sz w:val="20"/>
                  <w:szCs w:val="20"/>
                  <w:u w:val="single"/>
                </w:rPr>
                <w:t>Agreement</w:t>
              </w:r>
              <w:proofErr w:type="spellEnd"/>
            </w:hyperlink>
            <w:r>
              <w:rPr>
                <w:color w:val="808080"/>
                <w:sz w:val="20"/>
                <w:szCs w:val="20"/>
              </w:rPr>
              <w:t>*</w:t>
            </w:r>
            <w:r>
              <w:rPr>
                <w:color w:val="000000"/>
                <w:sz w:val="20"/>
                <w:szCs w:val="20"/>
              </w:rPr>
              <w:t xml:space="preserve"> </w:t>
            </w:r>
          </w:p>
        </w:tc>
        <w:tc>
          <w:tcPr>
            <w:tcW w:w="4961" w:type="dxa"/>
            <w:shd w:val="clear" w:color="auto" w:fill="auto"/>
            <w:tcMar>
              <w:top w:w="0" w:type="dxa"/>
              <w:left w:w="108" w:type="dxa"/>
              <w:bottom w:w="0" w:type="dxa"/>
              <w:right w:w="108" w:type="dxa"/>
            </w:tcMar>
          </w:tcPr>
          <w:p w14:paraId="094DBC89" w14:textId="77777777" w:rsidR="004111A3" w:rsidRDefault="004111A3">
            <w:pPr>
              <w:numPr>
                <w:ilvl w:val="0"/>
                <w:numId w:val="3"/>
              </w:numPr>
              <w:spacing w:before="120" w:after="120"/>
              <w:ind w:left="391" w:hanging="391"/>
              <w:jc w:val="left"/>
              <w:rPr>
                <w:color w:val="000000"/>
                <w:sz w:val="20"/>
                <w:szCs w:val="20"/>
              </w:rPr>
            </w:pPr>
          </w:p>
          <w:p w14:paraId="06468F31" w14:textId="77777777" w:rsidR="004111A3" w:rsidRDefault="00A909B0">
            <w:pPr>
              <w:spacing w:before="120" w:after="120"/>
              <w:jc w:val="left"/>
              <w:rPr>
                <w:color w:val="000000"/>
                <w:sz w:val="20"/>
                <w:szCs w:val="20"/>
              </w:rPr>
            </w:pPr>
            <w:r>
              <w:rPr>
                <w:color w:val="000000"/>
                <w:sz w:val="20"/>
                <w:szCs w:val="20"/>
              </w:rPr>
              <w:t>Учасники, рахунки яких відкриті в євро, конвертували витрати відповідно до своєї звичайної бухгалтерської практики.</w:t>
            </w:r>
          </w:p>
          <w:p w14:paraId="5BEFFFD9" w14:textId="77777777" w:rsidR="004111A3" w:rsidRDefault="00A909B0">
            <w:pPr>
              <w:spacing w:before="120" w:after="120"/>
              <w:jc w:val="left"/>
              <w:rPr>
                <w:color w:val="000000"/>
                <w:sz w:val="20"/>
                <w:szCs w:val="20"/>
              </w:rPr>
            </w:pPr>
            <w:r>
              <w:rPr>
                <w:color w:val="000000"/>
                <w:sz w:val="20"/>
                <w:szCs w:val="20"/>
              </w:rPr>
              <w:t>АБО</w:t>
            </w:r>
          </w:p>
          <w:p w14:paraId="213718C0" w14:textId="77777777" w:rsidR="004111A3" w:rsidRDefault="00A909B0">
            <w:pPr>
              <w:spacing w:before="120" w:after="120"/>
              <w:jc w:val="left"/>
              <w:rPr>
                <w:color w:val="000000"/>
                <w:sz w:val="20"/>
                <w:szCs w:val="20"/>
              </w:rPr>
            </w:pPr>
            <w:r>
              <w:rPr>
                <w:color w:val="000000"/>
                <w:sz w:val="20"/>
                <w:szCs w:val="20"/>
              </w:rPr>
              <w:t xml:space="preserve">Для учасників, рахунки яких відкриті у валюті, відмінній від євро, витрати були правильно конвертовані (відповідно до ст. 21.3 ГУ та відповідного розділу </w:t>
            </w:r>
            <w:hyperlink r:id="rId19">
              <w:r>
                <w:rPr>
                  <w:color w:val="0088CC"/>
                  <w:sz w:val="20"/>
                  <w:szCs w:val="20"/>
                  <w:u w:val="single"/>
                </w:rPr>
                <w:t xml:space="preserve">AGA — </w:t>
              </w:r>
              <w:proofErr w:type="spellStart"/>
              <w:r>
                <w:rPr>
                  <w:color w:val="0088CC"/>
                  <w:sz w:val="20"/>
                  <w:szCs w:val="20"/>
                  <w:u w:val="single"/>
                </w:rPr>
                <w:t>Annotated</w:t>
              </w:r>
              <w:proofErr w:type="spellEnd"/>
              <w:r>
                <w:rPr>
                  <w:color w:val="0088CC"/>
                  <w:sz w:val="20"/>
                  <w:szCs w:val="20"/>
                  <w:u w:val="single"/>
                </w:rPr>
                <w:t xml:space="preserve"> </w:t>
              </w:r>
              <w:proofErr w:type="spellStart"/>
              <w:r>
                <w:rPr>
                  <w:color w:val="0088CC"/>
                  <w:sz w:val="20"/>
                  <w:szCs w:val="20"/>
                  <w:u w:val="single"/>
                </w:rPr>
                <w:t>Grant</w:t>
              </w:r>
              <w:proofErr w:type="spellEnd"/>
              <w:r>
                <w:rPr>
                  <w:color w:val="0088CC"/>
                  <w:sz w:val="20"/>
                  <w:szCs w:val="20"/>
                  <w:u w:val="single"/>
                </w:rPr>
                <w:t xml:space="preserve"> </w:t>
              </w:r>
              <w:proofErr w:type="spellStart"/>
              <w:r>
                <w:rPr>
                  <w:color w:val="0088CC"/>
                  <w:sz w:val="20"/>
                  <w:szCs w:val="20"/>
                  <w:u w:val="single"/>
                </w:rPr>
                <w:t>Agreement</w:t>
              </w:r>
              <w:proofErr w:type="spellEnd"/>
            </w:hyperlink>
            <w:r>
              <w:rPr>
                <w:color w:val="808080"/>
                <w:sz w:val="20"/>
                <w:szCs w:val="20"/>
              </w:rPr>
              <w:t>*</w:t>
            </w:r>
            <w:r>
              <w:rPr>
                <w:color w:val="000000"/>
                <w:sz w:val="20"/>
                <w:szCs w:val="20"/>
              </w:rPr>
              <w:t xml:space="preserve"> .</w:t>
            </w:r>
          </w:p>
        </w:tc>
        <w:tc>
          <w:tcPr>
            <w:tcW w:w="1418" w:type="dxa"/>
            <w:shd w:val="clear" w:color="auto" w:fill="auto"/>
            <w:tcMar>
              <w:top w:w="0" w:type="dxa"/>
              <w:left w:w="108" w:type="dxa"/>
              <w:bottom w:w="0" w:type="dxa"/>
              <w:right w:w="108" w:type="dxa"/>
            </w:tcMar>
          </w:tcPr>
          <w:p w14:paraId="59BD4D53" w14:textId="77777777" w:rsidR="004111A3" w:rsidRDefault="00A909B0">
            <w:pPr>
              <w:spacing w:before="120" w:after="120"/>
              <w:jc w:val="center"/>
              <w:rPr>
                <w:color w:val="000000"/>
                <w:sz w:val="20"/>
                <w:szCs w:val="20"/>
              </w:rPr>
            </w:pPr>
            <w:r>
              <w:rPr>
                <w:color w:val="000000"/>
                <w:sz w:val="20"/>
                <w:szCs w:val="20"/>
              </w:rPr>
              <w:t>ТАК / НІ / Н.З.</w:t>
            </w:r>
          </w:p>
        </w:tc>
      </w:tr>
    </w:tbl>
    <w:p w14:paraId="5E232269" w14:textId="77777777" w:rsidR="004111A3" w:rsidRDefault="004111A3">
      <w:pPr>
        <w:spacing w:line="276" w:lineRule="auto"/>
        <w:jc w:val="left"/>
        <w:rPr>
          <w:sz w:val="22"/>
          <w:szCs w:val="22"/>
        </w:rPr>
      </w:pPr>
    </w:p>
    <w:p w14:paraId="04EBFDC6"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 xml:space="preserve"> Доходи</w:t>
      </w:r>
    </w:p>
    <w:tbl>
      <w:tblPr>
        <w:tblStyle w:val="afff8"/>
        <w:tblpPr w:leftFromText="180" w:rightFromText="180" w:vertAnchor="text" w:tblpY="1"/>
        <w:tblW w:w="15196"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144"/>
        <w:gridCol w:w="1139"/>
        <w:gridCol w:w="6526"/>
        <w:gridCol w:w="4961"/>
        <w:gridCol w:w="1418"/>
        <w:gridCol w:w="8"/>
      </w:tblGrid>
      <w:tr w:rsidR="004111A3" w14:paraId="1EE1219E" w14:textId="77777777">
        <w:trPr>
          <w:tblHeader/>
        </w:trPr>
        <w:tc>
          <w:tcPr>
            <w:tcW w:w="15196" w:type="dxa"/>
            <w:gridSpan w:val="6"/>
            <w:shd w:val="clear" w:color="auto" w:fill="EBF1DD"/>
          </w:tcPr>
          <w:p w14:paraId="6C73506C" w14:textId="77777777" w:rsidR="004111A3" w:rsidRDefault="00A909B0">
            <w:pPr>
              <w:spacing w:before="120" w:after="120"/>
              <w:ind w:left="142"/>
              <w:jc w:val="left"/>
              <w:rPr>
                <w:b/>
                <w:color w:val="000000"/>
                <w:sz w:val="20"/>
                <w:szCs w:val="20"/>
              </w:rPr>
            </w:pPr>
            <w:r>
              <w:rPr>
                <w:b/>
                <w:color w:val="FF0000"/>
              </w:rPr>
              <w:lastRenderedPageBreak/>
              <w:t>Узгоджені процедури CFS - Доходи</w:t>
            </w:r>
          </w:p>
        </w:tc>
      </w:tr>
      <w:tr w:rsidR="004111A3" w14:paraId="59002A8E" w14:textId="77777777">
        <w:trPr>
          <w:gridAfter w:val="1"/>
          <w:wAfter w:w="8" w:type="dxa"/>
          <w:tblHeader/>
        </w:trPr>
        <w:tc>
          <w:tcPr>
            <w:tcW w:w="1144" w:type="dxa"/>
            <w:shd w:val="clear" w:color="auto" w:fill="EBF1DD"/>
          </w:tcPr>
          <w:p w14:paraId="3DD370E8"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139" w:type="dxa"/>
            <w:shd w:val="clear" w:color="auto" w:fill="EBF1DD"/>
          </w:tcPr>
          <w:p w14:paraId="739F4B32"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526" w:type="dxa"/>
            <w:shd w:val="clear" w:color="auto" w:fill="EBF1DD"/>
            <w:tcMar>
              <w:top w:w="0" w:type="dxa"/>
              <w:left w:w="108" w:type="dxa"/>
              <w:bottom w:w="0" w:type="dxa"/>
              <w:right w:w="108" w:type="dxa"/>
            </w:tcMar>
            <w:vAlign w:val="center"/>
          </w:tcPr>
          <w:p w14:paraId="4114B1FA" w14:textId="77777777" w:rsidR="004111A3" w:rsidRDefault="00A909B0">
            <w:pPr>
              <w:spacing w:before="120" w:after="120"/>
              <w:jc w:val="center"/>
              <w:rPr>
                <w:color w:val="000000"/>
                <w:sz w:val="20"/>
                <w:szCs w:val="20"/>
              </w:rPr>
            </w:pPr>
            <w:r>
              <w:rPr>
                <w:b/>
                <w:color w:val="000000"/>
                <w:sz w:val="20"/>
                <w:szCs w:val="20"/>
              </w:rPr>
              <w:t>Процедури</w:t>
            </w:r>
          </w:p>
        </w:tc>
        <w:tc>
          <w:tcPr>
            <w:tcW w:w="4961" w:type="dxa"/>
            <w:shd w:val="clear" w:color="auto" w:fill="EBF1DD"/>
            <w:tcMar>
              <w:top w:w="0" w:type="dxa"/>
              <w:left w:w="108" w:type="dxa"/>
              <w:bottom w:w="0" w:type="dxa"/>
              <w:right w:w="108" w:type="dxa"/>
            </w:tcMar>
            <w:vAlign w:val="center"/>
          </w:tcPr>
          <w:p w14:paraId="51FCA48D"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418" w:type="dxa"/>
            <w:shd w:val="clear" w:color="auto" w:fill="EBF1DD"/>
            <w:tcMar>
              <w:top w:w="0" w:type="dxa"/>
              <w:left w:w="108" w:type="dxa"/>
              <w:bottom w:w="0" w:type="dxa"/>
              <w:right w:w="108" w:type="dxa"/>
            </w:tcMar>
            <w:vAlign w:val="center"/>
          </w:tcPr>
          <w:p w14:paraId="6441A22B" w14:textId="77777777" w:rsidR="004111A3" w:rsidRDefault="00A909B0">
            <w:pPr>
              <w:spacing w:before="120" w:after="120"/>
              <w:ind w:left="-107"/>
              <w:jc w:val="center"/>
              <w:rPr>
                <w:b/>
                <w:color w:val="000000"/>
                <w:sz w:val="20"/>
                <w:szCs w:val="20"/>
              </w:rPr>
            </w:pPr>
            <w:r>
              <w:rPr>
                <w:b/>
                <w:color w:val="000000"/>
                <w:sz w:val="20"/>
                <w:szCs w:val="20"/>
              </w:rPr>
              <w:t>Результат</w:t>
            </w:r>
          </w:p>
          <w:p w14:paraId="44F72982" w14:textId="77777777" w:rsidR="004111A3" w:rsidRDefault="00A909B0">
            <w:pPr>
              <w:spacing w:before="120" w:after="120"/>
              <w:ind w:left="-107"/>
              <w:jc w:val="center"/>
              <w:rPr>
                <w:b/>
                <w:color w:val="000000"/>
                <w:sz w:val="20"/>
                <w:szCs w:val="20"/>
              </w:rPr>
            </w:pPr>
            <w:r>
              <w:rPr>
                <w:b/>
                <w:color w:val="000000"/>
                <w:sz w:val="20"/>
                <w:szCs w:val="20"/>
              </w:rPr>
              <w:t>(ТАК / НІ / Н.З.)</w:t>
            </w:r>
          </w:p>
        </w:tc>
      </w:tr>
      <w:tr w:rsidR="004111A3" w14:paraId="677827EF" w14:textId="77777777">
        <w:trPr>
          <w:gridAfter w:val="1"/>
          <w:wAfter w:w="8" w:type="dxa"/>
        </w:trPr>
        <w:tc>
          <w:tcPr>
            <w:tcW w:w="1144" w:type="dxa"/>
            <w:shd w:val="clear" w:color="auto" w:fill="EBF1DD"/>
          </w:tcPr>
          <w:p w14:paraId="766D6A9D" w14:textId="77777777" w:rsidR="004111A3" w:rsidRDefault="00A909B0">
            <w:pPr>
              <w:spacing w:before="120" w:after="120"/>
              <w:jc w:val="center"/>
              <w:rPr>
                <w:b/>
                <w:color w:val="000000"/>
                <w:sz w:val="20"/>
                <w:szCs w:val="20"/>
              </w:rPr>
            </w:pPr>
            <w:r>
              <w:rPr>
                <w:b/>
                <w:color w:val="000000"/>
                <w:sz w:val="20"/>
                <w:szCs w:val="20"/>
              </w:rPr>
              <w:t xml:space="preserve">Стаття 22.3.4 </w:t>
            </w:r>
          </w:p>
        </w:tc>
        <w:tc>
          <w:tcPr>
            <w:tcW w:w="1139" w:type="dxa"/>
            <w:shd w:val="clear" w:color="auto" w:fill="EBF1DD"/>
          </w:tcPr>
          <w:p w14:paraId="5EA011DA" w14:textId="77777777" w:rsidR="004111A3" w:rsidRDefault="004111A3">
            <w:pPr>
              <w:spacing w:before="120" w:after="120"/>
              <w:jc w:val="center"/>
              <w:rPr>
                <w:b/>
                <w:color w:val="000000"/>
                <w:sz w:val="20"/>
                <w:szCs w:val="20"/>
              </w:rPr>
            </w:pPr>
          </w:p>
        </w:tc>
        <w:tc>
          <w:tcPr>
            <w:tcW w:w="12905" w:type="dxa"/>
            <w:gridSpan w:val="3"/>
            <w:shd w:val="clear" w:color="auto" w:fill="EBF1DD"/>
          </w:tcPr>
          <w:p w14:paraId="3DD9CC1C" w14:textId="77777777" w:rsidR="004111A3" w:rsidRDefault="00A909B0">
            <w:pPr>
              <w:spacing w:before="120" w:after="120"/>
              <w:ind w:left="139"/>
              <w:jc w:val="left"/>
              <w:rPr>
                <w:b/>
                <w:color w:val="000000"/>
                <w:sz w:val="20"/>
                <w:szCs w:val="20"/>
              </w:rPr>
            </w:pPr>
            <w:r>
              <w:rPr>
                <w:b/>
                <w:color w:val="000000"/>
                <w:sz w:val="20"/>
                <w:szCs w:val="20"/>
              </w:rPr>
              <w:t>ДОХОДИ</w:t>
            </w:r>
          </w:p>
        </w:tc>
      </w:tr>
      <w:tr w:rsidR="004111A3" w14:paraId="119EF0E1" w14:textId="77777777">
        <w:trPr>
          <w:gridAfter w:val="1"/>
          <w:wAfter w:w="8" w:type="dxa"/>
        </w:trPr>
        <w:tc>
          <w:tcPr>
            <w:tcW w:w="1144" w:type="dxa"/>
            <w:vMerge w:val="restart"/>
          </w:tcPr>
          <w:p w14:paraId="07A0ECE5" w14:textId="77777777" w:rsidR="004111A3" w:rsidRDefault="00A909B0">
            <w:pPr>
              <w:spacing w:before="120" w:after="120"/>
              <w:jc w:val="center"/>
              <w:rPr>
                <w:b/>
                <w:color w:val="000000"/>
                <w:sz w:val="20"/>
                <w:szCs w:val="20"/>
              </w:rPr>
            </w:pPr>
            <w:r>
              <w:rPr>
                <w:b/>
                <w:color w:val="000000"/>
                <w:sz w:val="20"/>
                <w:szCs w:val="20"/>
              </w:rPr>
              <w:t>Стаття 22.3.4</w:t>
            </w:r>
          </w:p>
        </w:tc>
        <w:tc>
          <w:tcPr>
            <w:tcW w:w="1139" w:type="dxa"/>
          </w:tcPr>
          <w:p w14:paraId="43ACC457" w14:textId="77777777" w:rsidR="004111A3" w:rsidRDefault="00A909B0">
            <w:pPr>
              <w:spacing w:before="120" w:after="120"/>
              <w:jc w:val="center"/>
              <w:rPr>
                <w:b/>
                <w:color w:val="000000"/>
                <w:sz w:val="20"/>
                <w:szCs w:val="20"/>
              </w:rPr>
            </w:pPr>
            <w:r>
              <w:rPr>
                <w:b/>
                <w:color w:val="000000"/>
                <w:sz w:val="20"/>
                <w:szCs w:val="20"/>
              </w:rPr>
              <w:t xml:space="preserve">ДОХОДИ </w:t>
            </w:r>
          </w:p>
          <w:p w14:paraId="55F50B74" w14:textId="77777777" w:rsidR="004111A3" w:rsidRDefault="00A909B0">
            <w:pPr>
              <w:spacing w:before="120" w:after="120"/>
              <w:jc w:val="center"/>
              <w:rPr>
                <w:b/>
                <w:color w:val="000000"/>
                <w:sz w:val="20"/>
                <w:szCs w:val="20"/>
              </w:rPr>
            </w:pPr>
            <w:r>
              <w:rPr>
                <w:b/>
                <w:color w:val="000000"/>
                <w:sz w:val="20"/>
                <w:szCs w:val="20"/>
              </w:rPr>
              <w:t>Якщо правило відсутності прибутку НЕ активоване в Таблиці даних ГУ АБО організація є неприбутковою організацією:</w:t>
            </w:r>
          </w:p>
        </w:tc>
        <w:tc>
          <w:tcPr>
            <w:tcW w:w="12905" w:type="dxa"/>
            <w:gridSpan w:val="3"/>
            <w:shd w:val="clear" w:color="auto" w:fill="F2F2F2"/>
            <w:tcMar>
              <w:top w:w="0" w:type="dxa"/>
              <w:left w:w="108" w:type="dxa"/>
              <w:bottom w:w="0" w:type="dxa"/>
              <w:right w:w="108" w:type="dxa"/>
            </w:tcMar>
          </w:tcPr>
          <w:p w14:paraId="34C556C7" w14:textId="77777777" w:rsidR="004111A3" w:rsidRDefault="00A909B0">
            <w:pPr>
              <w:spacing w:before="120" w:after="120"/>
              <w:jc w:val="left"/>
              <w:rPr>
                <w:color w:val="000000"/>
                <w:sz w:val="20"/>
                <w:szCs w:val="20"/>
              </w:rPr>
            </w:pPr>
            <w:r>
              <w:rPr>
                <w:color w:val="000000"/>
                <w:sz w:val="20"/>
                <w:szCs w:val="20"/>
              </w:rPr>
              <w:t>Н/З</w:t>
            </w:r>
          </w:p>
        </w:tc>
      </w:tr>
      <w:tr w:rsidR="004111A3" w14:paraId="65BA26E4" w14:textId="77777777">
        <w:trPr>
          <w:gridAfter w:val="1"/>
          <w:wAfter w:w="8" w:type="dxa"/>
        </w:trPr>
        <w:tc>
          <w:tcPr>
            <w:tcW w:w="1144" w:type="dxa"/>
            <w:vMerge/>
          </w:tcPr>
          <w:p w14:paraId="198BA063"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9" w:type="dxa"/>
            <w:vMerge w:val="restart"/>
          </w:tcPr>
          <w:p w14:paraId="1C94B5BB" w14:textId="77777777" w:rsidR="004111A3" w:rsidRDefault="00A909B0">
            <w:pPr>
              <w:spacing w:before="120" w:after="120"/>
              <w:jc w:val="center"/>
              <w:rPr>
                <w:b/>
                <w:color w:val="000000"/>
                <w:sz w:val="20"/>
                <w:szCs w:val="20"/>
              </w:rPr>
            </w:pPr>
            <w:r>
              <w:rPr>
                <w:b/>
                <w:color w:val="000000"/>
                <w:sz w:val="20"/>
                <w:szCs w:val="20"/>
              </w:rPr>
              <w:t>Якщо правило неприбутковості активоване в Таблиці даних ГУ і організація є прибутковою організацією:</w:t>
            </w:r>
          </w:p>
        </w:tc>
        <w:tc>
          <w:tcPr>
            <w:tcW w:w="6526" w:type="dxa"/>
            <w:vMerge w:val="restart"/>
            <w:shd w:val="clear" w:color="auto" w:fill="auto"/>
            <w:tcMar>
              <w:top w:w="0" w:type="dxa"/>
              <w:left w:w="108" w:type="dxa"/>
              <w:bottom w:w="0" w:type="dxa"/>
              <w:right w:w="108" w:type="dxa"/>
            </w:tcMar>
          </w:tcPr>
          <w:p w14:paraId="100C9084" w14:textId="77777777" w:rsidR="004111A3" w:rsidRDefault="00A909B0">
            <w:pPr>
              <w:pBdr>
                <w:top w:val="nil"/>
                <w:left w:val="nil"/>
                <w:bottom w:val="nil"/>
                <w:right w:val="nil"/>
                <w:between w:val="nil"/>
              </w:pBdr>
              <w:spacing w:before="120" w:after="120"/>
              <w:jc w:val="left"/>
              <w:rPr>
                <w:b/>
                <w:i/>
                <w:color w:val="000000"/>
                <w:sz w:val="20"/>
                <w:szCs w:val="20"/>
              </w:rPr>
            </w:pPr>
            <w:r>
              <w:rPr>
                <w:b/>
                <w:i/>
                <w:color w:val="000000"/>
                <w:sz w:val="20"/>
                <w:szCs w:val="20"/>
              </w:rPr>
              <w:t>Для прибуткових операцій:</w:t>
            </w:r>
          </w:p>
          <w:p w14:paraId="4D10D9AA" w14:textId="77777777" w:rsidR="004111A3" w:rsidRDefault="00A909B0">
            <w:pPr>
              <w:pBdr>
                <w:top w:val="nil"/>
                <w:left w:val="nil"/>
                <w:bottom w:val="nil"/>
                <w:right w:val="nil"/>
                <w:between w:val="nil"/>
              </w:pBdr>
              <w:spacing w:before="120" w:after="120"/>
              <w:jc w:val="left"/>
              <w:rPr>
                <w:color w:val="000000"/>
                <w:sz w:val="20"/>
                <w:szCs w:val="20"/>
              </w:rPr>
            </w:pPr>
            <w:r>
              <w:rPr>
                <w:color w:val="000000"/>
                <w:sz w:val="20"/>
                <w:szCs w:val="20"/>
              </w:rPr>
              <w:t>Щоб підтвердити стандартні висновки, наведені в наступній колонці, фахівець проаналізував операції з надходженнями, щоб виявити будь-які доходи, отримані в результаті дії, такі як</w:t>
            </w:r>
          </w:p>
          <w:p w14:paraId="1A7B3410"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продаж обладнання або активів, придбаних для проекту або створених в рамках проекту (обмежується заявленою прийнятною вартістю придбання); плата за вхід на конференцію, що проводиться консорціумом; продаж матеріалів конференції.</w:t>
            </w:r>
          </w:p>
          <w:p w14:paraId="03891379" w14:textId="77777777" w:rsidR="004111A3" w:rsidRDefault="00A909B0">
            <w:pPr>
              <w:pBdr>
                <w:top w:val="nil"/>
                <w:left w:val="nil"/>
                <w:bottom w:val="nil"/>
                <w:right w:val="nil"/>
                <w:between w:val="nil"/>
              </w:pBdr>
              <w:spacing w:before="120" w:after="120"/>
              <w:rPr>
                <w:color w:val="000000"/>
                <w:sz w:val="20"/>
                <w:szCs w:val="20"/>
              </w:rPr>
            </w:pPr>
            <w:r>
              <w:rPr>
                <w:color w:val="000000"/>
                <w:sz w:val="20"/>
                <w:szCs w:val="20"/>
              </w:rPr>
              <w:t>"Дохід" - це весь прибуток, отриманий від діяльності протягом її тривалості (див. ст. 4) для учасників, які є комерційними юридичними особами.</w:t>
            </w:r>
          </w:p>
          <w:p w14:paraId="3CBCAB46" w14:textId="77777777" w:rsidR="004111A3" w:rsidRDefault="00A909B0">
            <w:pPr>
              <w:spacing w:before="120" w:after="120"/>
              <w:rPr>
                <w:color w:val="000000"/>
                <w:sz w:val="20"/>
                <w:szCs w:val="20"/>
              </w:rPr>
            </w:pPr>
            <w:r>
              <w:rPr>
                <w:color w:val="7030A0"/>
                <w:sz w:val="20"/>
                <w:szCs w:val="20"/>
              </w:rPr>
              <w:lastRenderedPageBreak/>
              <w:t xml:space="preserve">Для "Горизонт Європа": </w:t>
            </w:r>
            <w:r>
              <w:t xml:space="preserve"> </w:t>
            </w:r>
            <w:r>
              <w:rPr>
                <w:color w:val="000000"/>
                <w:sz w:val="20"/>
                <w:szCs w:val="20"/>
              </w:rPr>
              <w:t>Дохід не включає прибуток від використання результатів, див. Додаток 5 ГУ (наприклад, комерціалізація продукту або послуги)</w:t>
            </w:r>
          </w:p>
          <w:p w14:paraId="2D037D9D" w14:textId="77777777" w:rsidR="004111A3" w:rsidRDefault="00A909B0">
            <w:pPr>
              <w:spacing w:before="120" w:after="120"/>
              <w:rPr>
                <w:sz w:val="20"/>
                <w:szCs w:val="20"/>
              </w:rPr>
            </w:pPr>
            <w:r>
              <w:rPr>
                <w:color w:val="000000"/>
                <w:sz w:val="20"/>
                <w:szCs w:val="20"/>
              </w:rPr>
              <w:t>Спеціаліст також підтвердив, що доходи, пов'язані з реалізацією проекту, якщо такі були, були належним чином відображені на рахунках учасника та задекларовані органу, що надав грант.</w:t>
            </w:r>
          </w:p>
        </w:tc>
        <w:tc>
          <w:tcPr>
            <w:tcW w:w="4961" w:type="dxa"/>
            <w:shd w:val="clear" w:color="auto" w:fill="auto"/>
            <w:tcMar>
              <w:top w:w="0" w:type="dxa"/>
              <w:left w:w="108" w:type="dxa"/>
              <w:bottom w:w="0" w:type="dxa"/>
              <w:right w:w="108" w:type="dxa"/>
            </w:tcMar>
          </w:tcPr>
          <w:p w14:paraId="79F6BA10"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lastRenderedPageBreak/>
              <w:t>Система бухгалтерського обліку дозволяє ідентифікувати витрати та доходи, пов'язані з діяльністю.</w:t>
            </w:r>
          </w:p>
        </w:tc>
        <w:tc>
          <w:tcPr>
            <w:tcW w:w="1418" w:type="dxa"/>
            <w:shd w:val="clear" w:color="auto" w:fill="auto"/>
            <w:tcMar>
              <w:top w:w="0" w:type="dxa"/>
              <w:left w:w="108" w:type="dxa"/>
              <w:bottom w:w="0" w:type="dxa"/>
              <w:right w:w="108" w:type="dxa"/>
            </w:tcMar>
          </w:tcPr>
          <w:p w14:paraId="094CE357"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11FAF2FC" w14:textId="77777777">
        <w:trPr>
          <w:gridAfter w:val="1"/>
          <w:wAfter w:w="8" w:type="dxa"/>
        </w:trPr>
        <w:tc>
          <w:tcPr>
            <w:tcW w:w="1144" w:type="dxa"/>
            <w:vMerge/>
          </w:tcPr>
          <w:p w14:paraId="3172F210"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9" w:type="dxa"/>
            <w:vMerge/>
          </w:tcPr>
          <w:p w14:paraId="21BD259C"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6" w:type="dxa"/>
            <w:vMerge/>
            <w:shd w:val="clear" w:color="auto" w:fill="auto"/>
            <w:tcMar>
              <w:top w:w="0" w:type="dxa"/>
              <w:left w:w="108" w:type="dxa"/>
              <w:bottom w:w="0" w:type="dxa"/>
              <w:right w:w="108" w:type="dxa"/>
            </w:tcMar>
          </w:tcPr>
          <w:p w14:paraId="70588452"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0ED935E7" w14:textId="77777777" w:rsidR="004111A3" w:rsidRDefault="00A909B0">
            <w:pPr>
              <w:numPr>
                <w:ilvl w:val="0"/>
                <w:numId w:val="3"/>
              </w:numPr>
              <w:pBdr>
                <w:top w:val="nil"/>
                <w:left w:val="nil"/>
                <w:bottom w:val="nil"/>
                <w:right w:val="nil"/>
                <w:between w:val="nil"/>
              </w:pBdr>
              <w:spacing w:before="120" w:after="120"/>
              <w:rPr>
                <w:color w:val="000000"/>
                <w:sz w:val="20"/>
                <w:szCs w:val="20"/>
              </w:rPr>
            </w:pPr>
            <w:r>
              <w:rPr>
                <w:color w:val="000000"/>
                <w:sz w:val="20"/>
                <w:szCs w:val="20"/>
              </w:rPr>
              <w:t>Учасник задекларував усі надходження (тобто дохід, отриманий від діяльності) у проміжних та/або фінальних звітах.</w:t>
            </w:r>
          </w:p>
        </w:tc>
        <w:tc>
          <w:tcPr>
            <w:tcW w:w="1418" w:type="dxa"/>
            <w:shd w:val="clear" w:color="auto" w:fill="auto"/>
            <w:tcMar>
              <w:top w:w="0" w:type="dxa"/>
              <w:left w:w="108" w:type="dxa"/>
              <w:bottom w:w="0" w:type="dxa"/>
              <w:right w:w="108" w:type="dxa"/>
            </w:tcMar>
          </w:tcPr>
          <w:p w14:paraId="3DF598FD" w14:textId="77777777" w:rsidR="004111A3" w:rsidRDefault="00A909B0">
            <w:pPr>
              <w:spacing w:before="120" w:after="120"/>
              <w:jc w:val="center"/>
              <w:rPr>
                <w:color w:val="000000"/>
                <w:sz w:val="20"/>
                <w:szCs w:val="20"/>
              </w:rPr>
            </w:pPr>
            <w:r>
              <w:rPr>
                <w:color w:val="000000"/>
                <w:sz w:val="20"/>
                <w:szCs w:val="20"/>
              </w:rPr>
              <w:t>ТАК / НІ / Н.З.</w:t>
            </w:r>
          </w:p>
        </w:tc>
      </w:tr>
    </w:tbl>
    <w:p w14:paraId="6348758D" w14:textId="77777777" w:rsidR="004111A3" w:rsidRDefault="004111A3">
      <w:pPr>
        <w:spacing w:line="276" w:lineRule="auto"/>
        <w:jc w:val="left"/>
      </w:pPr>
    </w:p>
    <w:p w14:paraId="6DD2916A" w14:textId="77777777" w:rsidR="004111A3" w:rsidRDefault="004111A3">
      <w:pPr>
        <w:pStyle w:val="30"/>
        <w:rPr>
          <w:rFonts w:ascii="Times New Roman" w:eastAsia="Times New Roman" w:hAnsi="Times New Roman" w:cs="Times New Roman"/>
        </w:rPr>
      </w:pPr>
    </w:p>
    <w:p w14:paraId="42217EA0" w14:textId="77777777" w:rsidR="004111A3" w:rsidRDefault="00A909B0">
      <w:pPr>
        <w:pStyle w:val="30"/>
        <w:rPr>
          <w:rFonts w:ascii="Times New Roman" w:eastAsia="Times New Roman" w:hAnsi="Times New Roman" w:cs="Times New Roman"/>
        </w:rPr>
      </w:pPr>
      <w:r>
        <w:rPr>
          <w:rFonts w:ascii="Times New Roman" w:eastAsia="Times New Roman" w:hAnsi="Times New Roman" w:cs="Times New Roman"/>
        </w:rPr>
        <w:t>Внески в натуральній формі</w:t>
      </w:r>
    </w:p>
    <w:tbl>
      <w:tblPr>
        <w:tblStyle w:val="afff9"/>
        <w:tblpPr w:leftFromText="180" w:rightFromText="180" w:vertAnchor="text" w:tblpY="1"/>
        <w:tblW w:w="15183" w:type="dxa"/>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144"/>
        <w:gridCol w:w="1134"/>
        <w:gridCol w:w="17"/>
        <w:gridCol w:w="6509"/>
        <w:gridCol w:w="4961"/>
        <w:gridCol w:w="1418"/>
      </w:tblGrid>
      <w:tr w:rsidR="004111A3" w14:paraId="195E5193" w14:textId="77777777">
        <w:trPr>
          <w:tblHeader/>
        </w:trPr>
        <w:tc>
          <w:tcPr>
            <w:tcW w:w="15183" w:type="dxa"/>
            <w:gridSpan w:val="6"/>
            <w:shd w:val="clear" w:color="auto" w:fill="EBF1DD"/>
          </w:tcPr>
          <w:p w14:paraId="1A03A85A" w14:textId="77777777" w:rsidR="004111A3" w:rsidRDefault="00A909B0">
            <w:pPr>
              <w:spacing w:before="120" w:after="120"/>
              <w:ind w:left="142"/>
              <w:jc w:val="left"/>
              <w:rPr>
                <w:b/>
                <w:color w:val="000000"/>
                <w:sz w:val="20"/>
                <w:szCs w:val="20"/>
              </w:rPr>
            </w:pPr>
            <w:r>
              <w:rPr>
                <w:b/>
                <w:color w:val="FF0000"/>
              </w:rPr>
              <w:t>ПОГОДЖЕНІ CFS ПРОЦЕДУРИ - Внески в натуральній формі</w:t>
            </w:r>
          </w:p>
        </w:tc>
      </w:tr>
      <w:tr w:rsidR="004111A3" w14:paraId="09C259F3" w14:textId="77777777">
        <w:trPr>
          <w:tblHeader/>
        </w:trPr>
        <w:tc>
          <w:tcPr>
            <w:tcW w:w="1144" w:type="dxa"/>
            <w:shd w:val="clear" w:color="auto" w:fill="EBF1DD"/>
          </w:tcPr>
          <w:p w14:paraId="526C35D0" w14:textId="77777777" w:rsidR="004111A3" w:rsidRDefault="00A909B0">
            <w:pPr>
              <w:spacing w:before="120" w:after="120"/>
              <w:jc w:val="center"/>
              <w:rPr>
                <w:b/>
                <w:color w:val="000000"/>
                <w:sz w:val="20"/>
                <w:szCs w:val="20"/>
              </w:rPr>
            </w:pPr>
            <w:r>
              <w:rPr>
                <w:b/>
                <w:color w:val="000000"/>
                <w:sz w:val="20"/>
                <w:szCs w:val="20"/>
              </w:rPr>
              <w:t>Стаття Грантової Угоди</w:t>
            </w:r>
          </w:p>
        </w:tc>
        <w:tc>
          <w:tcPr>
            <w:tcW w:w="1134" w:type="dxa"/>
            <w:shd w:val="clear" w:color="auto" w:fill="EBF1DD"/>
          </w:tcPr>
          <w:p w14:paraId="1C595C5C" w14:textId="77777777" w:rsidR="004111A3" w:rsidRDefault="00A909B0">
            <w:pPr>
              <w:spacing w:before="120" w:after="120"/>
              <w:jc w:val="center"/>
              <w:rPr>
                <w:b/>
                <w:color w:val="000000"/>
                <w:sz w:val="20"/>
                <w:szCs w:val="20"/>
              </w:rPr>
            </w:pPr>
            <w:r>
              <w:rPr>
                <w:b/>
                <w:color w:val="000000"/>
                <w:sz w:val="20"/>
                <w:szCs w:val="20"/>
              </w:rPr>
              <w:t>Категорія витрат</w:t>
            </w:r>
          </w:p>
        </w:tc>
        <w:tc>
          <w:tcPr>
            <w:tcW w:w="6526" w:type="dxa"/>
            <w:gridSpan w:val="2"/>
            <w:shd w:val="clear" w:color="auto" w:fill="EBF1DD"/>
            <w:tcMar>
              <w:top w:w="0" w:type="dxa"/>
              <w:left w:w="108" w:type="dxa"/>
              <w:bottom w:w="0" w:type="dxa"/>
              <w:right w:w="108" w:type="dxa"/>
            </w:tcMar>
            <w:vAlign w:val="center"/>
          </w:tcPr>
          <w:p w14:paraId="2B38E933" w14:textId="77777777" w:rsidR="004111A3" w:rsidRDefault="00A909B0">
            <w:pPr>
              <w:spacing w:before="120" w:after="120"/>
              <w:jc w:val="center"/>
              <w:rPr>
                <w:color w:val="000000"/>
                <w:sz w:val="20"/>
                <w:szCs w:val="20"/>
              </w:rPr>
            </w:pPr>
            <w:r>
              <w:rPr>
                <w:b/>
                <w:color w:val="000000"/>
                <w:sz w:val="20"/>
                <w:szCs w:val="20"/>
              </w:rPr>
              <w:t>Процедури</w:t>
            </w:r>
          </w:p>
        </w:tc>
        <w:tc>
          <w:tcPr>
            <w:tcW w:w="4961" w:type="dxa"/>
            <w:shd w:val="clear" w:color="auto" w:fill="EBF1DD"/>
            <w:tcMar>
              <w:top w:w="0" w:type="dxa"/>
              <w:left w:w="108" w:type="dxa"/>
              <w:bottom w:w="0" w:type="dxa"/>
              <w:right w:w="108" w:type="dxa"/>
            </w:tcMar>
            <w:vAlign w:val="center"/>
          </w:tcPr>
          <w:p w14:paraId="415710B6" w14:textId="77777777" w:rsidR="004111A3" w:rsidRDefault="00A909B0">
            <w:pPr>
              <w:spacing w:before="120" w:after="120"/>
              <w:jc w:val="center"/>
              <w:rPr>
                <w:b/>
                <w:color w:val="000000"/>
                <w:sz w:val="20"/>
                <w:szCs w:val="20"/>
              </w:rPr>
            </w:pPr>
            <w:r>
              <w:rPr>
                <w:b/>
                <w:color w:val="000000"/>
                <w:sz w:val="20"/>
                <w:szCs w:val="20"/>
              </w:rPr>
              <w:t>Стандартний висновок</w:t>
            </w:r>
          </w:p>
        </w:tc>
        <w:tc>
          <w:tcPr>
            <w:tcW w:w="1418" w:type="dxa"/>
            <w:shd w:val="clear" w:color="auto" w:fill="EBF1DD"/>
            <w:tcMar>
              <w:top w:w="0" w:type="dxa"/>
              <w:left w:w="108" w:type="dxa"/>
              <w:bottom w:w="0" w:type="dxa"/>
              <w:right w:w="108" w:type="dxa"/>
            </w:tcMar>
            <w:vAlign w:val="center"/>
          </w:tcPr>
          <w:p w14:paraId="4428DF06" w14:textId="77777777" w:rsidR="004111A3" w:rsidRDefault="00A909B0">
            <w:pPr>
              <w:spacing w:before="120" w:after="120"/>
              <w:ind w:left="-107"/>
              <w:jc w:val="center"/>
              <w:rPr>
                <w:b/>
                <w:color w:val="000000"/>
                <w:sz w:val="20"/>
                <w:szCs w:val="20"/>
              </w:rPr>
            </w:pPr>
            <w:r>
              <w:rPr>
                <w:b/>
                <w:color w:val="000000"/>
                <w:sz w:val="20"/>
                <w:szCs w:val="20"/>
              </w:rPr>
              <w:t>Результат</w:t>
            </w:r>
          </w:p>
          <w:p w14:paraId="6F00B8E7" w14:textId="77777777" w:rsidR="004111A3" w:rsidRDefault="00A909B0">
            <w:pPr>
              <w:spacing w:before="120" w:after="120"/>
              <w:ind w:left="-107"/>
              <w:jc w:val="center"/>
              <w:rPr>
                <w:b/>
                <w:color w:val="000000"/>
                <w:sz w:val="20"/>
                <w:szCs w:val="20"/>
              </w:rPr>
            </w:pPr>
            <w:r>
              <w:rPr>
                <w:b/>
                <w:color w:val="000000"/>
                <w:sz w:val="20"/>
                <w:szCs w:val="20"/>
              </w:rPr>
              <w:t>(ТАК / НІ / Н.З.)</w:t>
            </w:r>
          </w:p>
        </w:tc>
      </w:tr>
      <w:tr w:rsidR="004111A3" w14:paraId="580D4254" w14:textId="77777777">
        <w:tc>
          <w:tcPr>
            <w:tcW w:w="1144" w:type="dxa"/>
            <w:shd w:val="clear" w:color="auto" w:fill="EBF1DD"/>
          </w:tcPr>
          <w:p w14:paraId="000185A4" w14:textId="77777777" w:rsidR="004111A3" w:rsidRDefault="00A909B0">
            <w:pPr>
              <w:spacing w:before="120" w:after="120"/>
              <w:jc w:val="center"/>
              <w:rPr>
                <w:b/>
                <w:color w:val="000000"/>
                <w:sz w:val="20"/>
                <w:szCs w:val="20"/>
              </w:rPr>
            </w:pPr>
            <w:r>
              <w:rPr>
                <w:b/>
                <w:color w:val="000000"/>
                <w:sz w:val="20"/>
                <w:szCs w:val="20"/>
              </w:rPr>
              <w:t>Стаття 9.2</w:t>
            </w:r>
          </w:p>
        </w:tc>
        <w:tc>
          <w:tcPr>
            <w:tcW w:w="1151" w:type="dxa"/>
            <w:gridSpan w:val="2"/>
            <w:shd w:val="clear" w:color="auto" w:fill="EBF1DD"/>
          </w:tcPr>
          <w:p w14:paraId="55708732" w14:textId="77777777" w:rsidR="004111A3" w:rsidRDefault="004111A3">
            <w:pPr>
              <w:spacing w:before="120" w:after="120"/>
              <w:jc w:val="center"/>
              <w:rPr>
                <w:b/>
                <w:color w:val="000000"/>
                <w:sz w:val="20"/>
                <w:szCs w:val="20"/>
              </w:rPr>
            </w:pPr>
          </w:p>
        </w:tc>
        <w:tc>
          <w:tcPr>
            <w:tcW w:w="12888" w:type="dxa"/>
            <w:gridSpan w:val="3"/>
            <w:shd w:val="clear" w:color="auto" w:fill="EBF1DD"/>
          </w:tcPr>
          <w:p w14:paraId="58FF5FDB" w14:textId="77777777" w:rsidR="004111A3" w:rsidRDefault="00A909B0">
            <w:pPr>
              <w:spacing w:before="120" w:after="120"/>
              <w:ind w:left="118"/>
              <w:jc w:val="left"/>
              <w:rPr>
                <w:b/>
                <w:color w:val="000000"/>
                <w:sz w:val="20"/>
                <w:szCs w:val="20"/>
              </w:rPr>
            </w:pPr>
            <w:r>
              <w:rPr>
                <w:b/>
                <w:color w:val="000000"/>
                <w:sz w:val="20"/>
                <w:szCs w:val="20"/>
              </w:rPr>
              <w:t>IN-KIND CONTRIBUTIONS BY THIRD PARTIES</w:t>
            </w:r>
          </w:p>
        </w:tc>
      </w:tr>
      <w:tr w:rsidR="004111A3" w14:paraId="3938568C" w14:textId="77777777">
        <w:tc>
          <w:tcPr>
            <w:tcW w:w="1144" w:type="dxa"/>
            <w:vMerge w:val="restart"/>
          </w:tcPr>
          <w:p w14:paraId="0FB66E54" w14:textId="77777777" w:rsidR="004111A3" w:rsidRDefault="00A909B0">
            <w:pPr>
              <w:spacing w:before="120" w:after="120"/>
              <w:jc w:val="center"/>
              <w:rPr>
                <w:b/>
                <w:color w:val="000000"/>
                <w:sz w:val="20"/>
                <w:szCs w:val="20"/>
              </w:rPr>
            </w:pPr>
            <w:r>
              <w:rPr>
                <w:b/>
                <w:color w:val="000000"/>
                <w:sz w:val="20"/>
                <w:szCs w:val="20"/>
              </w:rPr>
              <w:t>Стаття 9.2</w:t>
            </w:r>
          </w:p>
        </w:tc>
        <w:tc>
          <w:tcPr>
            <w:tcW w:w="1134" w:type="dxa"/>
          </w:tcPr>
          <w:p w14:paraId="64B34FE0" w14:textId="77777777" w:rsidR="004111A3" w:rsidRDefault="00A909B0">
            <w:pPr>
              <w:spacing w:before="120" w:after="120"/>
              <w:jc w:val="center"/>
              <w:rPr>
                <w:b/>
                <w:color w:val="000000"/>
                <w:sz w:val="20"/>
                <w:szCs w:val="20"/>
              </w:rPr>
            </w:pPr>
            <w:r>
              <w:rPr>
                <w:b/>
                <w:color w:val="000000"/>
                <w:sz w:val="20"/>
                <w:szCs w:val="20"/>
              </w:rPr>
              <w:t>ВНЕСКИ В НАТУРАЛЬНІЙ ФОРМІ</w:t>
            </w:r>
          </w:p>
          <w:p w14:paraId="4E0C2987" w14:textId="77777777" w:rsidR="004111A3" w:rsidRDefault="00A909B0">
            <w:pPr>
              <w:spacing w:before="120" w:after="120"/>
              <w:jc w:val="center"/>
              <w:rPr>
                <w:b/>
                <w:color w:val="000000"/>
                <w:sz w:val="20"/>
                <w:szCs w:val="20"/>
              </w:rPr>
            </w:pPr>
            <w:r>
              <w:rPr>
                <w:b/>
                <w:color w:val="000000"/>
                <w:sz w:val="20"/>
                <w:szCs w:val="20"/>
              </w:rPr>
              <w:t>Якщо внески в натуральній формі дозволені, але не прийнятні:</w:t>
            </w:r>
          </w:p>
        </w:tc>
        <w:tc>
          <w:tcPr>
            <w:tcW w:w="12905" w:type="dxa"/>
            <w:gridSpan w:val="4"/>
            <w:shd w:val="clear" w:color="auto" w:fill="F2F2F2"/>
            <w:tcMar>
              <w:top w:w="0" w:type="dxa"/>
              <w:left w:w="108" w:type="dxa"/>
              <w:bottom w:w="0" w:type="dxa"/>
              <w:right w:w="108" w:type="dxa"/>
            </w:tcMar>
          </w:tcPr>
          <w:p w14:paraId="43A20220" w14:textId="77777777" w:rsidR="004111A3" w:rsidRDefault="00A909B0">
            <w:pPr>
              <w:spacing w:before="120" w:after="120"/>
              <w:rPr>
                <w:color w:val="000000"/>
                <w:sz w:val="20"/>
                <w:szCs w:val="20"/>
              </w:rPr>
            </w:pPr>
            <w:r>
              <w:rPr>
                <w:color w:val="000000"/>
                <w:sz w:val="20"/>
                <w:szCs w:val="20"/>
              </w:rPr>
              <w:t>Н/З</w:t>
            </w:r>
          </w:p>
        </w:tc>
      </w:tr>
      <w:tr w:rsidR="004111A3" w14:paraId="282E0A69" w14:textId="77777777">
        <w:tc>
          <w:tcPr>
            <w:tcW w:w="1144" w:type="dxa"/>
            <w:vMerge/>
          </w:tcPr>
          <w:p w14:paraId="415D194B"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val="restart"/>
          </w:tcPr>
          <w:p w14:paraId="2BA02352" w14:textId="77777777" w:rsidR="004111A3" w:rsidRDefault="00A909B0">
            <w:pPr>
              <w:spacing w:before="120" w:after="120"/>
              <w:jc w:val="center"/>
              <w:rPr>
                <w:b/>
                <w:color w:val="000000"/>
                <w:sz w:val="20"/>
                <w:szCs w:val="20"/>
              </w:rPr>
            </w:pPr>
            <w:r>
              <w:rPr>
                <w:b/>
                <w:color w:val="000000"/>
                <w:sz w:val="20"/>
                <w:szCs w:val="20"/>
              </w:rPr>
              <w:t xml:space="preserve">Якщо внески в натуральній формі </w:t>
            </w:r>
            <w:r>
              <w:rPr>
                <w:b/>
                <w:color w:val="000000"/>
                <w:sz w:val="20"/>
                <w:szCs w:val="20"/>
              </w:rPr>
              <w:lastRenderedPageBreak/>
              <w:t>дозволені та прийнятні:</w:t>
            </w:r>
          </w:p>
          <w:p w14:paraId="3977C8CC" w14:textId="77777777" w:rsidR="004111A3" w:rsidRDefault="00A909B0">
            <w:pPr>
              <w:spacing w:before="120" w:after="120"/>
              <w:jc w:val="center"/>
              <w:rPr>
                <w:color w:val="000000"/>
                <w:sz w:val="20"/>
                <w:szCs w:val="20"/>
              </w:rPr>
            </w:pPr>
            <w:r>
              <w:rPr>
                <w:i/>
                <w:color w:val="7030A0"/>
                <w:sz w:val="20"/>
                <w:szCs w:val="20"/>
              </w:rPr>
              <w:t>(HE)</w:t>
            </w:r>
          </w:p>
        </w:tc>
        <w:tc>
          <w:tcPr>
            <w:tcW w:w="6526" w:type="dxa"/>
            <w:gridSpan w:val="2"/>
            <w:vMerge w:val="restart"/>
            <w:shd w:val="clear" w:color="auto" w:fill="auto"/>
            <w:tcMar>
              <w:top w:w="0" w:type="dxa"/>
              <w:left w:w="108" w:type="dxa"/>
              <w:bottom w:w="0" w:type="dxa"/>
              <w:right w:w="108" w:type="dxa"/>
            </w:tcMar>
          </w:tcPr>
          <w:p w14:paraId="435F02F1" w14:textId="77777777" w:rsidR="004111A3" w:rsidRDefault="00A909B0">
            <w:pPr>
              <w:spacing w:before="120" w:after="120"/>
              <w:jc w:val="left"/>
              <w:rPr>
                <w:b/>
                <w:color w:val="000000"/>
                <w:sz w:val="20"/>
                <w:szCs w:val="20"/>
              </w:rPr>
            </w:pPr>
            <w:r>
              <w:rPr>
                <w:b/>
                <w:color w:val="000000"/>
                <w:sz w:val="20"/>
                <w:szCs w:val="20"/>
              </w:rPr>
              <w:lastRenderedPageBreak/>
              <w:t>Для всіх цінових категорій:</w:t>
            </w:r>
          </w:p>
          <w:p w14:paraId="2F00A04F" w14:textId="77777777" w:rsidR="004111A3" w:rsidRDefault="00A909B0">
            <w:pPr>
              <w:spacing w:before="120" w:after="120"/>
              <w:jc w:val="left"/>
              <w:rPr>
                <w:b/>
                <w:i/>
                <w:color w:val="000000"/>
                <w:sz w:val="20"/>
                <w:szCs w:val="20"/>
              </w:rPr>
            </w:pPr>
            <w:r>
              <w:rPr>
                <w:b/>
                <w:i/>
                <w:color w:val="000000"/>
                <w:sz w:val="20"/>
                <w:szCs w:val="20"/>
              </w:rPr>
              <w:t xml:space="preserve">Для внесків у натуральній формі, наданих третіми сторонами безоплатно, задекларованих як прийнятні прямі витрати </w:t>
            </w:r>
            <w:r>
              <w:rPr>
                <w:b/>
                <w:i/>
                <w:color w:val="000000"/>
                <w:sz w:val="20"/>
                <w:szCs w:val="20"/>
              </w:rPr>
              <w:lastRenderedPageBreak/>
              <w:t>учасниками, які їх використовують (за тих самих умов і відповідної категорії витрат, як якщо б вони були їхніми власними):</w:t>
            </w:r>
          </w:p>
          <w:p w14:paraId="4612B87C" w14:textId="77777777" w:rsidR="004111A3" w:rsidRDefault="00A909B0">
            <w:pPr>
              <w:spacing w:before="120" w:after="120"/>
              <w:jc w:val="left"/>
              <w:rPr>
                <w:color w:val="000000"/>
                <w:sz w:val="20"/>
                <w:szCs w:val="20"/>
              </w:rPr>
            </w:pPr>
            <w:r>
              <w:rPr>
                <w:color w:val="000000"/>
                <w:sz w:val="20"/>
                <w:szCs w:val="20"/>
              </w:rPr>
              <w:t>Щоб підтвердити стандартні висновки в наступній колонці, фахівець перевірив у вибірці кожну категорію витрат, що:</w:t>
            </w:r>
          </w:p>
          <w:p w14:paraId="573C5951"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витрати на внески в натуральній формі були правильно задекларовані відповідно до ст. 6.1 та 9.2</w:t>
            </w:r>
          </w:p>
          <w:p w14:paraId="413B6453"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треті сторони та їх внески в натуральній формі зазначені в Додатку 1 ГУ (або затверджені в технічному звіті)</w:t>
            </w:r>
          </w:p>
          <w:p w14:paraId="1E848D36" w14:textId="77777777" w:rsidR="004111A3" w:rsidRDefault="00A909B0">
            <w:pPr>
              <w:numPr>
                <w:ilvl w:val="0"/>
                <w:numId w:val="2"/>
              </w:numPr>
              <w:spacing w:before="120" w:after="120"/>
              <w:ind w:left="504" w:hanging="330"/>
              <w:jc w:val="left"/>
              <w:rPr>
                <w:color w:val="000000"/>
                <w:sz w:val="20"/>
                <w:szCs w:val="20"/>
              </w:rPr>
            </w:pPr>
            <w:r>
              <w:rPr>
                <w:color w:val="000000"/>
                <w:sz w:val="20"/>
                <w:szCs w:val="20"/>
              </w:rPr>
              <w:t>Відповідно до ст. 6.1, витрати, задекларовані як безоплатні в натуральній формі, не повинні перевищувати прямих витрат, понесених третьою стороною, що робить внесок у натуральній формі, на отримання рахунків-фактур, бухгалтерських проводок тощо.</w:t>
            </w:r>
          </w:p>
          <w:p w14:paraId="5E2A07EA" w14:textId="77777777" w:rsidR="004111A3" w:rsidRDefault="00A909B0">
            <w:pPr>
              <w:tabs>
                <w:tab w:val="left" w:pos="286"/>
                <w:tab w:val="left" w:pos="597"/>
              </w:tabs>
              <w:spacing w:before="120" w:after="120"/>
              <w:jc w:val="left"/>
              <w:rPr>
                <w:color w:val="000000"/>
                <w:sz w:val="20"/>
                <w:szCs w:val="20"/>
              </w:rPr>
            </w:pPr>
            <w:r>
              <w:rPr>
                <w:color w:val="000000"/>
                <w:sz w:val="20"/>
                <w:szCs w:val="20"/>
              </w:rPr>
              <w:t>Практик також перевірив наявність обов'язкових угод між учасником і третьою стороною, які гарантують, що права органів, згаданих у ст. 25, також забезпечуються по відношенню до третьої сторони, яка робить внесок у негрошовій формі.</w:t>
            </w:r>
          </w:p>
        </w:tc>
        <w:tc>
          <w:tcPr>
            <w:tcW w:w="4961" w:type="dxa"/>
            <w:shd w:val="clear" w:color="auto" w:fill="auto"/>
            <w:tcMar>
              <w:top w:w="0" w:type="dxa"/>
              <w:left w:w="108" w:type="dxa"/>
              <w:bottom w:w="0" w:type="dxa"/>
              <w:right w:w="108" w:type="dxa"/>
            </w:tcMar>
          </w:tcPr>
          <w:p w14:paraId="0D7E77CC"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lastRenderedPageBreak/>
              <w:t>Витрати на внески в натуральній формі були передбачені в Додатку 1 ГУ (або затверджені в технічному звіті) і задекларовані у відповідній категорії витрат.</w:t>
            </w:r>
          </w:p>
        </w:tc>
        <w:tc>
          <w:tcPr>
            <w:tcW w:w="1418" w:type="dxa"/>
            <w:shd w:val="clear" w:color="auto" w:fill="auto"/>
            <w:tcMar>
              <w:top w:w="0" w:type="dxa"/>
              <w:left w:w="108" w:type="dxa"/>
              <w:bottom w:w="0" w:type="dxa"/>
              <w:right w:w="108" w:type="dxa"/>
            </w:tcMar>
          </w:tcPr>
          <w:p w14:paraId="47C69424" w14:textId="77777777" w:rsidR="004111A3" w:rsidRDefault="00A909B0">
            <w:pPr>
              <w:spacing w:before="120" w:after="120"/>
              <w:jc w:val="center"/>
              <w:rPr>
                <w:color w:val="000000"/>
                <w:sz w:val="20"/>
                <w:szCs w:val="20"/>
              </w:rPr>
            </w:pPr>
            <w:r>
              <w:rPr>
                <w:color w:val="000000"/>
                <w:sz w:val="20"/>
                <w:szCs w:val="20"/>
              </w:rPr>
              <w:t>ТАК / НІ / Н.З.</w:t>
            </w:r>
          </w:p>
        </w:tc>
      </w:tr>
      <w:tr w:rsidR="004111A3" w14:paraId="56E250A4" w14:textId="77777777">
        <w:tc>
          <w:tcPr>
            <w:tcW w:w="1144" w:type="dxa"/>
            <w:vMerge/>
          </w:tcPr>
          <w:p w14:paraId="0952361D"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1134" w:type="dxa"/>
            <w:vMerge/>
          </w:tcPr>
          <w:p w14:paraId="31F2B374"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6526" w:type="dxa"/>
            <w:gridSpan w:val="2"/>
            <w:vMerge/>
            <w:shd w:val="clear" w:color="auto" w:fill="auto"/>
            <w:tcMar>
              <w:top w:w="0" w:type="dxa"/>
              <w:left w:w="108" w:type="dxa"/>
              <w:bottom w:w="0" w:type="dxa"/>
              <w:right w:w="108" w:type="dxa"/>
            </w:tcMar>
          </w:tcPr>
          <w:p w14:paraId="46DB3677" w14:textId="77777777" w:rsidR="004111A3" w:rsidRDefault="004111A3">
            <w:pPr>
              <w:widowControl w:val="0"/>
              <w:pBdr>
                <w:top w:val="nil"/>
                <w:left w:val="nil"/>
                <w:bottom w:val="nil"/>
                <w:right w:val="nil"/>
                <w:between w:val="nil"/>
              </w:pBdr>
              <w:spacing w:after="0" w:line="276" w:lineRule="auto"/>
              <w:jc w:val="left"/>
              <w:rPr>
                <w:color w:val="000000"/>
                <w:sz w:val="20"/>
                <w:szCs w:val="20"/>
              </w:rPr>
            </w:pPr>
          </w:p>
        </w:tc>
        <w:tc>
          <w:tcPr>
            <w:tcW w:w="4961" w:type="dxa"/>
            <w:shd w:val="clear" w:color="auto" w:fill="auto"/>
            <w:tcMar>
              <w:top w:w="0" w:type="dxa"/>
              <w:left w:w="108" w:type="dxa"/>
              <w:bottom w:w="0" w:type="dxa"/>
              <w:right w:w="108" w:type="dxa"/>
            </w:tcMar>
          </w:tcPr>
          <w:p w14:paraId="62C55E73" w14:textId="77777777" w:rsidR="004111A3" w:rsidRDefault="00A909B0">
            <w:pPr>
              <w:numPr>
                <w:ilvl w:val="0"/>
                <w:numId w:val="3"/>
              </w:numPr>
              <w:spacing w:before="120" w:after="120"/>
              <w:ind w:left="391" w:hanging="391"/>
              <w:jc w:val="left"/>
              <w:rPr>
                <w:color w:val="000000"/>
                <w:sz w:val="20"/>
                <w:szCs w:val="20"/>
              </w:rPr>
            </w:pPr>
            <w:r>
              <w:rPr>
                <w:color w:val="000000"/>
                <w:sz w:val="20"/>
                <w:szCs w:val="20"/>
              </w:rPr>
              <w:t>Права органів, згаданих у ст. 25 25, забезпечуються також по відношенню до третіх осіб, які роблять внески в негрошовій формі.</w:t>
            </w:r>
          </w:p>
        </w:tc>
        <w:tc>
          <w:tcPr>
            <w:tcW w:w="1418" w:type="dxa"/>
            <w:shd w:val="clear" w:color="auto" w:fill="auto"/>
            <w:tcMar>
              <w:top w:w="0" w:type="dxa"/>
              <w:left w:w="108" w:type="dxa"/>
              <w:bottom w:w="0" w:type="dxa"/>
              <w:right w:w="108" w:type="dxa"/>
            </w:tcMar>
          </w:tcPr>
          <w:p w14:paraId="48C55F35" w14:textId="77777777" w:rsidR="004111A3" w:rsidRDefault="00A909B0">
            <w:pPr>
              <w:spacing w:before="120" w:after="120"/>
              <w:jc w:val="center"/>
              <w:rPr>
                <w:color w:val="000000"/>
                <w:sz w:val="20"/>
                <w:szCs w:val="20"/>
              </w:rPr>
            </w:pPr>
            <w:r>
              <w:rPr>
                <w:color w:val="000000"/>
                <w:sz w:val="20"/>
                <w:szCs w:val="20"/>
              </w:rPr>
              <w:t>ТАК / НІ / Н.З.</w:t>
            </w:r>
          </w:p>
        </w:tc>
      </w:tr>
    </w:tbl>
    <w:p w14:paraId="433C7BFE" w14:textId="77777777" w:rsidR="004111A3" w:rsidRDefault="004111A3"/>
    <w:p w14:paraId="026DA601" w14:textId="77777777" w:rsidR="004111A3" w:rsidRDefault="00A909B0">
      <w:pPr>
        <w:tabs>
          <w:tab w:val="left" w:pos="4962"/>
        </w:tabs>
        <w:spacing w:after="0"/>
        <w:jc w:val="left"/>
      </w:pPr>
      <w:r>
        <w:t>ПІДПИС</w:t>
      </w:r>
    </w:p>
    <w:p w14:paraId="438628F7" w14:textId="77777777" w:rsidR="004111A3" w:rsidRDefault="00A909B0">
      <w:pPr>
        <w:tabs>
          <w:tab w:val="left" w:pos="4962"/>
        </w:tabs>
        <w:spacing w:after="0"/>
        <w:jc w:val="left"/>
      </w:pPr>
      <w:r>
        <w:t xml:space="preserve">Для практикуючого фахівця </w:t>
      </w:r>
    </w:p>
    <w:p w14:paraId="0CDE52D8" w14:textId="77777777" w:rsidR="004111A3" w:rsidRDefault="00A909B0">
      <w:pPr>
        <w:tabs>
          <w:tab w:val="left" w:pos="4962"/>
        </w:tabs>
        <w:spacing w:after="0"/>
        <w:jc w:val="left"/>
      </w:pPr>
      <w:r>
        <w:t>[</w:t>
      </w:r>
      <w:r>
        <w:rPr>
          <w:highlight w:val="lightGray"/>
        </w:rPr>
        <w:t>ім'я/прізвище/посада</w:t>
      </w:r>
      <w:r>
        <w:t>]</w:t>
      </w:r>
    </w:p>
    <w:p w14:paraId="481CDB0C" w14:textId="77777777" w:rsidR="004111A3" w:rsidRDefault="00A909B0">
      <w:pPr>
        <w:spacing w:after="0"/>
        <w:jc w:val="left"/>
      </w:pPr>
      <w:r>
        <w:t>[</w:t>
      </w:r>
      <w:r>
        <w:rPr>
          <w:highlight w:val="lightGray"/>
        </w:rPr>
        <w:t>адреса]</w:t>
      </w:r>
    </w:p>
    <w:p w14:paraId="160C2624" w14:textId="77777777" w:rsidR="004111A3" w:rsidRDefault="00A909B0">
      <w:pPr>
        <w:tabs>
          <w:tab w:val="left" w:pos="4962"/>
        </w:tabs>
        <w:spacing w:after="0"/>
        <w:jc w:val="left"/>
      </w:pPr>
      <w:r>
        <w:t>[</w:t>
      </w:r>
      <w:r>
        <w:rPr>
          <w:highlight w:val="lightGray"/>
        </w:rPr>
        <w:t>підпис</w:t>
      </w:r>
      <w:r>
        <w:t>]</w:t>
      </w:r>
    </w:p>
    <w:p w14:paraId="6B1FF131" w14:textId="77777777" w:rsidR="004111A3" w:rsidRDefault="00A909B0">
      <w:pPr>
        <w:sectPr w:rsidR="004111A3">
          <w:pgSz w:w="16838" w:h="11906" w:orient="landscape"/>
          <w:pgMar w:top="1276" w:right="720" w:bottom="720" w:left="720" w:header="708" w:footer="276" w:gutter="0"/>
          <w:pgNumType w:start="1"/>
          <w:cols w:space="720"/>
        </w:sectPr>
      </w:pPr>
      <w:r>
        <w:t>[</w:t>
      </w:r>
      <w:r>
        <w:rPr>
          <w:highlight w:val="lightGray"/>
        </w:rPr>
        <w:t>дата</w:t>
      </w:r>
      <w:r>
        <w:t>]     [</w:t>
      </w:r>
      <w:r>
        <w:rPr>
          <w:highlight w:val="lightGray"/>
        </w:rPr>
        <w:t>штамп</w:t>
      </w:r>
      <w:r>
        <w:t>]</w:t>
      </w:r>
    </w:p>
    <w:p w14:paraId="4374D4E5" w14:textId="77777777" w:rsidR="004111A3" w:rsidRDefault="00A909B0">
      <w:pPr>
        <w:jc w:val="center"/>
        <w:rPr>
          <w:b/>
        </w:rPr>
      </w:pPr>
      <w:r>
        <w:rPr>
          <w:b/>
        </w:rPr>
        <w:lastRenderedPageBreak/>
        <w:t>ЗВІТ ПРО УЗГОДЖЕНІ ПРОЦЕДУРИ ЩОДО СЕРТИФІКАТУ ПРО ФІНАНСОВУ ЗВІТНІСТЬ (CFS)</w:t>
      </w:r>
    </w:p>
    <w:p w14:paraId="741824D6" w14:textId="77777777" w:rsidR="004111A3" w:rsidRDefault="00A909B0">
      <w:pPr>
        <w:spacing w:after="0"/>
      </w:pPr>
      <w:r>
        <w:t xml:space="preserve">До </w:t>
      </w:r>
    </w:p>
    <w:p w14:paraId="5D4A292A" w14:textId="77777777" w:rsidR="004111A3" w:rsidRDefault="004111A3">
      <w:pPr>
        <w:spacing w:after="0"/>
      </w:pPr>
    </w:p>
    <w:p w14:paraId="011A212E" w14:textId="77777777" w:rsidR="004111A3" w:rsidRDefault="00A909B0">
      <w:pPr>
        <w:spacing w:after="0"/>
        <w:rPr>
          <w:highlight w:val="lightGray"/>
        </w:rPr>
      </w:pPr>
      <w:r>
        <w:t>[</w:t>
      </w:r>
      <w:r>
        <w:rPr>
          <w:highlight w:val="lightGray"/>
        </w:rPr>
        <w:t>Повна назва організації</w:t>
      </w:r>
    </w:p>
    <w:p w14:paraId="62778AEB" w14:textId="77777777" w:rsidR="004111A3" w:rsidRDefault="00A909B0">
      <w:pPr>
        <w:spacing w:after="0"/>
      </w:pPr>
      <w:r>
        <w:rPr>
          <w:highlight w:val="lightGray"/>
        </w:rPr>
        <w:t>адреса</w:t>
      </w:r>
      <w:r>
        <w:t>]</w:t>
      </w:r>
    </w:p>
    <w:p w14:paraId="1F1955D5" w14:textId="77777777" w:rsidR="004111A3" w:rsidRDefault="00A909B0">
      <w:r>
        <w:t>Метою цього звіту є надання органу ЄС, що надає грант, висновків відповідно до узгоджених процедур (AUP), викладених у Технічному завданні, для того, щоб він міг оцінити, чи відповідають певні витрати (і, у відповідних випадках, доходи) умовам, викладеним в Угоді про надання гранту ЄС. Цей звіт призначений виключно для цієї мети.</w:t>
      </w:r>
    </w:p>
    <w:p w14:paraId="29FE8002" w14:textId="77777777" w:rsidR="004111A3" w:rsidRDefault="00A909B0">
      <w:r>
        <w:t>Узгоджені процедури були встановлені та визначені відповідним органом ЄС, що надає грантові кошти.</w:t>
      </w:r>
    </w:p>
    <w:p w14:paraId="238185F9" w14:textId="77777777" w:rsidR="004111A3" w:rsidRDefault="00A909B0">
      <w:r>
        <w:t>Завдання з виконання погоджених процедур передбачає виконання нами погоджених процедур, викладених у технічному завданні, за погодженням з учасником. Ми не оцінюємо доречність, не надаємо аудиторської думки та не висловлюємо переконання щодо достовірності. Якби ми виконали додаткові процедури, до нашої уваги могли б потрапити інші питання, про які ми б повідомили у звіті.</w:t>
      </w:r>
    </w:p>
    <w:p w14:paraId="3AFD729B" w14:textId="77777777" w:rsidR="004111A3" w:rsidRDefault="00A909B0">
      <w:pPr>
        <w:ind w:left="600" w:hanging="600"/>
        <w:rPr>
          <w:b/>
        </w:rPr>
      </w:pPr>
      <w:r>
        <w:t xml:space="preserve">Ми, </w:t>
      </w:r>
      <w:r>
        <w:rPr>
          <w:b/>
        </w:rPr>
        <w:t>[</w:t>
      </w:r>
      <w:r>
        <w:rPr>
          <w:b/>
          <w:highlight w:val="lightGray"/>
        </w:rPr>
        <w:t>повна назва практикуючого фахівця (фірми)</w:t>
      </w:r>
      <w:r>
        <w:rPr>
          <w:b/>
        </w:rPr>
        <w:t>],</w:t>
      </w:r>
      <w:r>
        <w:t xml:space="preserve"> зареєстровані в </w:t>
      </w:r>
      <w:r>
        <w:rPr>
          <w:b/>
        </w:rPr>
        <w:t>[</w:t>
      </w:r>
      <w:r>
        <w:rPr>
          <w:b/>
          <w:highlight w:val="lightGray"/>
        </w:rPr>
        <w:t>повна адреса/місто/країна</w:t>
      </w:r>
      <w:r>
        <w:rPr>
          <w:b/>
        </w:rPr>
        <w:t>],</w:t>
      </w:r>
      <w:r>
        <w:t xml:space="preserve"> представлені для підписання цієї CFS </w:t>
      </w:r>
      <w:r>
        <w:rPr>
          <w:b/>
        </w:rPr>
        <w:t>[</w:t>
      </w:r>
      <w:r>
        <w:rPr>
          <w:b/>
          <w:highlight w:val="lightGray"/>
        </w:rPr>
        <w:t>ім'я та посада уповноваженого представника</w:t>
      </w:r>
      <w:r>
        <w:rPr>
          <w:b/>
        </w:rPr>
        <w:t>],</w:t>
      </w:r>
    </w:p>
    <w:p w14:paraId="28227349" w14:textId="77777777" w:rsidR="004111A3" w:rsidRDefault="00A909B0">
      <w:pPr>
        <w:ind w:left="600" w:hanging="600"/>
        <w:jc w:val="center"/>
        <w:rPr>
          <w:b/>
        </w:rPr>
      </w:pPr>
      <w:r>
        <w:rPr>
          <w:b/>
        </w:rPr>
        <w:t>цим повідомляємо, що</w:t>
      </w:r>
    </w:p>
    <w:p w14:paraId="4CAD7C3A" w14:textId="77777777" w:rsidR="004111A3" w:rsidRDefault="00A909B0">
      <w:pPr>
        <w:ind w:left="600" w:hanging="600"/>
      </w:pPr>
      <w:r>
        <w:t xml:space="preserve">1 — </w:t>
      </w:r>
      <w:r>
        <w:tab/>
        <w:t>Ми маємо відповідну кваліфікацію/</w:t>
      </w:r>
      <w:proofErr w:type="spellStart"/>
      <w:r>
        <w:t>уповноваженість</w:t>
      </w:r>
      <w:proofErr w:type="spellEnd"/>
      <w:r>
        <w:t xml:space="preserve"> надавати цей CFS </w:t>
      </w:r>
      <w:r>
        <w:rPr>
          <w:color w:val="C2D69B"/>
        </w:rPr>
        <w:t>[</w:t>
      </w:r>
      <w:r>
        <w:t>(додаткову інформацію див. у додатку до цього сертифікату)</w:t>
      </w:r>
      <w:r>
        <w:rPr>
          <w:color w:val="C2D69B"/>
        </w:rPr>
        <w:t xml:space="preserve">] </w:t>
      </w:r>
      <w:r>
        <w:t>і не маємо жодного конфлікту інтересів.</w:t>
      </w:r>
    </w:p>
    <w:p w14:paraId="3683AC91" w14:textId="77777777" w:rsidR="004111A3" w:rsidRDefault="00A909B0">
      <w:pPr>
        <w:ind w:left="600" w:hanging="600"/>
        <w:rPr>
          <w:color w:val="000000"/>
        </w:rPr>
      </w:pPr>
      <w:r>
        <w:t xml:space="preserve">2 — </w:t>
      </w:r>
      <w:r>
        <w:tab/>
      </w:r>
      <w:r>
        <w:rPr>
          <w:color w:val="000000"/>
        </w:rPr>
        <w:t>Ми виконали узгоджені процедури відповідно до Технічного завдання (включаючи контрольний список узгоджених процедур, який є невід'ємною частиною Технічного завдання), і, зокрема, наступних стандартів:</w:t>
      </w:r>
    </w:p>
    <w:p w14:paraId="747FF4F0" w14:textId="77777777" w:rsidR="004111A3" w:rsidRDefault="00A909B0">
      <w:pPr>
        <w:numPr>
          <w:ilvl w:val="1"/>
          <w:numId w:val="1"/>
        </w:numPr>
        <w:ind w:left="1080"/>
      </w:pPr>
      <w:r>
        <w:t>Міжнародний стандарт супутніх послуг (МССП) 4400 (переглянутий) "Завдання за узгодженими процедурами", виданий Радою з міжнародних стандартів аудиту та надання гарантій достовірності інформації (IAASB)</w:t>
      </w:r>
    </w:p>
    <w:p w14:paraId="6BE49937" w14:textId="77777777" w:rsidR="004111A3" w:rsidRDefault="00A909B0">
      <w:pPr>
        <w:numPr>
          <w:ilvl w:val="1"/>
          <w:numId w:val="1"/>
        </w:numPr>
        <w:ind w:left="1080"/>
      </w:pPr>
      <w:r>
        <w:t>Міжнародний кодекс етики професійних бухгалтерів (включаючи Міжнародні незалежні стандарти), виданий Радою з міжнародних стандартів етики для бухгалтерів (IESBA), включаючи вимоги до забезпечення незалежності</w:t>
      </w:r>
    </w:p>
    <w:p w14:paraId="3BD6C0E7" w14:textId="77777777" w:rsidR="004111A3" w:rsidRDefault="00A909B0">
      <w:pPr>
        <w:numPr>
          <w:ilvl w:val="1"/>
          <w:numId w:val="1"/>
        </w:numPr>
        <w:ind w:left="1080"/>
      </w:pPr>
      <w:proofErr w:type="spellStart"/>
      <w:r>
        <w:t>the</w:t>
      </w:r>
      <w:proofErr w:type="spellEnd"/>
      <w:r>
        <w:t xml:space="preserve"> </w:t>
      </w:r>
      <w:proofErr w:type="spellStart"/>
      <w:r>
        <w:t>International</w:t>
      </w:r>
      <w:proofErr w:type="spellEnd"/>
      <w:r>
        <w:t xml:space="preserve"> Standard </w:t>
      </w:r>
      <w:proofErr w:type="spellStart"/>
      <w:r>
        <w:t>on</w:t>
      </w:r>
      <w:proofErr w:type="spellEnd"/>
      <w:r>
        <w:t xml:space="preserve"> </w:t>
      </w:r>
      <w:proofErr w:type="spellStart"/>
      <w:r>
        <w:t>Quality</w:t>
      </w:r>
      <w:proofErr w:type="spellEnd"/>
      <w:r>
        <w:t xml:space="preserve"> </w:t>
      </w:r>
      <w:proofErr w:type="spellStart"/>
      <w:r>
        <w:t>Control</w:t>
      </w:r>
      <w:proofErr w:type="spellEnd"/>
      <w:r>
        <w:t xml:space="preserve"> 1 </w:t>
      </w:r>
      <w:proofErr w:type="spellStart"/>
      <w:r>
        <w:rPr>
          <w:i/>
        </w:rPr>
        <w:t>Quality</w:t>
      </w:r>
      <w:proofErr w:type="spellEnd"/>
      <w:r>
        <w:rPr>
          <w:i/>
        </w:rPr>
        <w:t xml:space="preserve"> </w:t>
      </w:r>
      <w:proofErr w:type="spellStart"/>
      <w:r>
        <w:rPr>
          <w:i/>
        </w:rPr>
        <w:t>Control</w:t>
      </w:r>
      <w:proofErr w:type="spellEnd"/>
      <w:r>
        <w:rPr>
          <w:i/>
        </w:rPr>
        <w:t xml:space="preserve"> </w:t>
      </w:r>
      <w:proofErr w:type="spellStart"/>
      <w:r>
        <w:rPr>
          <w:i/>
        </w:rPr>
        <w:t>for</w:t>
      </w:r>
      <w:proofErr w:type="spellEnd"/>
      <w:r>
        <w:rPr>
          <w:i/>
        </w:rPr>
        <w:t xml:space="preserve"> </w:t>
      </w:r>
      <w:proofErr w:type="spellStart"/>
      <w:r>
        <w:rPr>
          <w:i/>
        </w:rPr>
        <w:t>Firms</w:t>
      </w:r>
      <w:proofErr w:type="spellEnd"/>
      <w:r>
        <w:rPr>
          <w:i/>
        </w:rPr>
        <w:t xml:space="preserve"> </w:t>
      </w:r>
      <w:proofErr w:type="spellStart"/>
      <w:r>
        <w:rPr>
          <w:i/>
        </w:rPr>
        <w:t>that</w:t>
      </w:r>
      <w:proofErr w:type="spellEnd"/>
      <w:r>
        <w:rPr>
          <w:i/>
        </w:rPr>
        <w:t xml:space="preserve"> </w:t>
      </w:r>
      <w:proofErr w:type="spellStart"/>
      <w:r>
        <w:rPr>
          <w:i/>
        </w:rPr>
        <w:t>Perform</w:t>
      </w:r>
      <w:proofErr w:type="spellEnd"/>
      <w:r>
        <w:rPr>
          <w:i/>
        </w:rPr>
        <w:t xml:space="preserve"> </w:t>
      </w:r>
      <w:proofErr w:type="spellStart"/>
      <w:r>
        <w:rPr>
          <w:i/>
        </w:rPr>
        <w:t>Audits</w:t>
      </w:r>
      <w:proofErr w:type="spellEnd"/>
      <w:r>
        <w:rPr>
          <w:i/>
        </w:rPr>
        <w:t xml:space="preserve"> </w:t>
      </w:r>
      <w:proofErr w:type="spellStart"/>
      <w:r>
        <w:rPr>
          <w:i/>
        </w:rPr>
        <w:t>and</w:t>
      </w:r>
      <w:proofErr w:type="spellEnd"/>
      <w:r>
        <w:rPr>
          <w:i/>
        </w:rPr>
        <w:t xml:space="preserve"> </w:t>
      </w:r>
      <w:proofErr w:type="spellStart"/>
      <w:r>
        <w:rPr>
          <w:i/>
        </w:rPr>
        <w:t>Reviews</w:t>
      </w:r>
      <w:proofErr w:type="spellEnd"/>
      <w:r>
        <w:rPr>
          <w:i/>
        </w:rPr>
        <w:t xml:space="preserve"> </w:t>
      </w:r>
      <w:proofErr w:type="spellStart"/>
      <w:r>
        <w:rPr>
          <w:i/>
        </w:rPr>
        <w:t>of</w:t>
      </w:r>
      <w:proofErr w:type="spellEnd"/>
      <w:r>
        <w:rPr>
          <w:i/>
        </w:rPr>
        <w:t xml:space="preserve"> </w:t>
      </w:r>
      <w:proofErr w:type="spellStart"/>
      <w:r>
        <w:rPr>
          <w:i/>
        </w:rPr>
        <w:t>financial</w:t>
      </w:r>
      <w:proofErr w:type="spellEnd"/>
      <w:r>
        <w:rPr>
          <w:i/>
        </w:rPr>
        <w:t xml:space="preserve"> </w:t>
      </w:r>
      <w:proofErr w:type="spellStart"/>
      <w:r>
        <w:rPr>
          <w:i/>
        </w:rPr>
        <w:t>statements</w:t>
      </w:r>
      <w:proofErr w:type="spellEnd"/>
      <w:r>
        <w:rPr>
          <w:i/>
        </w:rPr>
        <w:t xml:space="preserve">, </w:t>
      </w:r>
      <w:proofErr w:type="spellStart"/>
      <w:r>
        <w:rPr>
          <w:i/>
        </w:rPr>
        <w:t>and</w:t>
      </w:r>
      <w:proofErr w:type="spellEnd"/>
      <w:r>
        <w:rPr>
          <w:i/>
        </w:rPr>
        <w:t xml:space="preserve"> </w:t>
      </w:r>
      <w:proofErr w:type="spellStart"/>
      <w:r>
        <w:rPr>
          <w:i/>
        </w:rPr>
        <w:t>Other</w:t>
      </w:r>
      <w:proofErr w:type="spellEnd"/>
      <w:r>
        <w:rPr>
          <w:i/>
        </w:rPr>
        <w:t xml:space="preserve"> </w:t>
      </w:r>
      <w:proofErr w:type="spellStart"/>
      <w:r>
        <w:rPr>
          <w:i/>
        </w:rPr>
        <w:t>Assurance</w:t>
      </w:r>
      <w:proofErr w:type="spellEnd"/>
      <w:r>
        <w:rPr>
          <w:i/>
        </w:rPr>
        <w:t xml:space="preserve"> </w:t>
      </w:r>
      <w:proofErr w:type="spellStart"/>
      <w:r>
        <w:rPr>
          <w:i/>
        </w:rPr>
        <w:t>and</w:t>
      </w:r>
      <w:proofErr w:type="spellEnd"/>
      <w:r>
        <w:rPr>
          <w:i/>
        </w:rPr>
        <w:t xml:space="preserve"> </w:t>
      </w:r>
      <w:proofErr w:type="spellStart"/>
      <w:r>
        <w:rPr>
          <w:i/>
        </w:rPr>
        <w:t>Related</w:t>
      </w:r>
      <w:proofErr w:type="spellEnd"/>
      <w:r>
        <w:rPr>
          <w:i/>
        </w:rPr>
        <w:t xml:space="preserve"> </w:t>
      </w:r>
      <w:proofErr w:type="spellStart"/>
      <w:r>
        <w:rPr>
          <w:i/>
        </w:rPr>
        <w:t>Services</w:t>
      </w:r>
      <w:proofErr w:type="spellEnd"/>
      <w:r>
        <w:rPr>
          <w:i/>
        </w:rPr>
        <w:t xml:space="preserve"> </w:t>
      </w:r>
      <w:proofErr w:type="spellStart"/>
      <w:r>
        <w:rPr>
          <w:i/>
        </w:rPr>
        <w:t>Engagements</w:t>
      </w:r>
      <w:proofErr w:type="spellEnd"/>
      <w:r>
        <w:t xml:space="preserve"> (</w:t>
      </w:r>
      <w:proofErr w:type="spellStart"/>
      <w:r>
        <w:t>equivalent</w:t>
      </w:r>
      <w:proofErr w:type="spellEnd"/>
      <w:r>
        <w:t>). Міжнародний стандарт контролю якості 1 "</w:t>
      </w:r>
      <w:r>
        <w:rPr>
          <w:i/>
        </w:rPr>
        <w:t>Контроль якості для фірм, що виконують аудит, огляд, аудит фінансової звітності та інші завдання з надання гарантій достовірності та супутніх послуг</w:t>
      </w:r>
      <w:r>
        <w:t>" (еквівалент).</w:t>
      </w:r>
    </w:p>
    <w:p w14:paraId="38B32361" w14:textId="77777777" w:rsidR="004111A3" w:rsidRDefault="00A909B0">
      <w:pPr>
        <w:ind w:left="567" w:hanging="567"/>
        <w:rPr>
          <w:b/>
          <w:color w:val="000000"/>
        </w:rPr>
      </w:pPr>
      <w:r>
        <w:lastRenderedPageBreak/>
        <w:t xml:space="preserve">3 — </w:t>
      </w:r>
      <w:r>
        <w:tab/>
        <w:t>Ми виконали узгоджені процедури щодо витрат і доходів, задекларованих у фінансовому звіті (звітах) [</w:t>
      </w:r>
      <w:r>
        <w:rPr>
          <w:b/>
          <w:highlight w:val="lightGray"/>
        </w:rPr>
        <w:t>юридична назва (скорочена назва) організації]</w:t>
      </w:r>
      <w:r>
        <w:t xml:space="preserve">, PIC </w:t>
      </w:r>
      <w:r>
        <w:rPr>
          <w:highlight w:val="lightGray"/>
        </w:rPr>
        <w:t>[номер]</w:t>
      </w:r>
      <w:r>
        <w:t xml:space="preserve">, в рамках Грантової угоди ЄС № </w:t>
      </w:r>
      <w:r>
        <w:rPr>
          <w:b/>
          <w:highlight w:val="lightGray"/>
        </w:rPr>
        <w:t>[вкажіть номер]</w:t>
      </w:r>
      <w:r>
        <w:t xml:space="preserve"> - </w:t>
      </w:r>
      <w:r>
        <w:rPr>
          <w:b/>
          <w:highlight w:val="lightGray"/>
        </w:rPr>
        <w:t>[вкажіть скорочену назву]</w:t>
      </w:r>
      <w:r>
        <w:t xml:space="preserve">, що охоплює наступний звітний період (періоди): </w:t>
      </w:r>
      <w:r>
        <w:rPr>
          <w:b/>
          <w:highlight w:val="lightGray"/>
        </w:rPr>
        <w:t>[вкажіть звітний(і) період(и)].</w:t>
      </w:r>
    </w:p>
    <w:p w14:paraId="4B610253" w14:textId="77777777" w:rsidR="004111A3" w:rsidRDefault="00A909B0">
      <w:pPr>
        <w:ind w:left="1134" w:hanging="567"/>
        <w:rPr>
          <w:color w:val="000000"/>
        </w:rPr>
      </w:pPr>
      <w:r>
        <w:rPr>
          <w:color w:val="000000"/>
        </w:rPr>
        <w:t>Відповідні витрати та доходи, про які йдеться у цьому звіті, становлять</w:t>
      </w:r>
    </w:p>
    <w:p w14:paraId="63A30BEF" w14:textId="77777777" w:rsidR="004111A3" w:rsidRDefault="00A909B0">
      <w:pPr>
        <w:numPr>
          <w:ilvl w:val="0"/>
          <w:numId w:val="5"/>
        </w:numPr>
        <w:pBdr>
          <w:top w:val="nil"/>
          <w:left w:val="nil"/>
          <w:bottom w:val="nil"/>
          <w:right w:val="nil"/>
          <w:between w:val="nil"/>
        </w:pBdr>
        <w:ind w:left="1560" w:hanging="567"/>
        <w:rPr>
          <w:color w:val="000000"/>
        </w:rPr>
      </w:pPr>
      <w:r>
        <w:rPr>
          <w:color w:val="000000"/>
        </w:rPr>
        <w:t>загальні фактичні витрати</w:t>
      </w:r>
      <w:r>
        <w:rPr>
          <w:b/>
          <w:color w:val="000000"/>
        </w:rPr>
        <w:t xml:space="preserve"> в євро [</w:t>
      </w:r>
      <w:r>
        <w:rPr>
          <w:b/>
          <w:color w:val="000000"/>
          <w:highlight w:val="lightGray"/>
        </w:rPr>
        <w:t>вкажіть суму витрат</w:t>
      </w:r>
      <w:r>
        <w:rPr>
          <w:b/>
          <w:color w:val="000000"/>
        </w:rPr>
        <w:t>]</w:t>
      </w:r>
    </w:p>
    <w:p w14:paraId="010DAB3E" w14:textId="77777777" w:rsidR="004111A3" w:rsidRDefault="00A909B0">
      <w:pPr>
        <w:numPr>
          <w:ilvl w:val="0"/>
          <w:numId w:val="5"/>
        </w:numPr>
        <w:pBdr>
          <w:top w:val="nil"/>
          <w:left w:val="nil"/>
          <w:bottom w:val="nil"/>
          <w:right w:val="nil"/>
          <w:between w:val="nil"/>
        </w:pBdr>
        <w:ind w:left="1560" w:hanging="567"/>
        <w:rPr>
          <w:color w:val="000000"/>
        </w:rPr>
      </w:pPr>
      <w:r>
        <w:rPr>
          <w:color w:val="000000"/>
        </w:rPr>
        <w:t xml:space="preserve">загальну собівартість одиниці продукції відповідно до звичайної практики обліку витрат </w:t>
      </w:r>
      <w:r>
        <w:rPr>
          <w:b/>
          <w:color w:val="000000"/>
        </w:rPr>
        <w:t>у</w:t>
      </w:r>
      <w:r>
        <w:rPr>
          <w:color w:val="000000"/>
        </w:rPr>
        <w:t xml:space="preserve"> </w:t>
      </w:r>
      <w:r>
        <w:rPr>
          <w:b/>
          <w:color w:val="000000"/>
        </w:rPr>
        <w:t>євро [</w:t>
      </w:r>
      <w:r>
        <w:rPr>
          <w:b/>
          <w:color w:val="000000"/>
          <w:highlight w:val="lightGray"/>
        </w:rPr>
        <w:t>вкажіть суму витрат</w:t>
      </w:r>
      <w:r>
        <w:rPr>
          <w:b/>
          <w:color w:val="000000"/>
        </w:rPr>
        <w:t>]</w:t>
      </w:r>
      <w:r>
        <w:rPr>
          <w:color w:val="000000"/>
        </w:rPr>
        <w:t xml:space="preserve"> та </w:t>
      </w:r>
    </w:p>
    <w:p w14:paraId="046F0DB8" w14:textId="77777777" w:rsidR="004111A3" w:rsidRDefault="00A909B0">
      <w:pPr>
        <w:numPr>
          <w:ilvl w:val="0"/>
          <w:numId w:val="5"/>
        </w:numPr>
        <w:pBdr>
          <w:top w:val="nil"/>
          <w:left w:val="nil"/>
          <w:bottom w:val="nil"/>
          <w:right w:val="nil"/>
          <w:between w:val="nil"/>
        </w:pBdr>
        <w:ind w:left="1560" w:hanging="567"/>
        <w:rPr>
          <w:color w:val="000000"/>
        </w:rPr>
      </w:pPr>
      <w:r>
        <w:rPr>
          <w:color w:val="000000"/>
        </w:rPr>
        <w:t xml:space="preserve">загальний дохід </w:t>
      </w:r>
      <w:r>
        <w:rPr>
          <w:b/>
          <w:color w:val="000000"/>
        </w:rPr>
        <w:t>у євро</w:t>
      </w:r>
      <w:r>
        <w:rPr>
          <w:color w:val="000000"/>
        </w:rPr>
        <w:t xml:space="preserve"> </w:t>
      </w:r>
      <w:r>
        <w:rPr>
          <w:b/>
          <w:color w:val="000000"/>
          <w:highlight w:val="lightGray"/>
        </w:rPr>
        <w:t>[вкажіть суму доходу].</w:t>
      </w:r>
    </w:p>
    <w:p w14:paraId="336DF50E" w14:textId="77777777" w:rsidR="004111A3" w:rsidRDefault="00A909B0">
      <w:pPr>
        <w:ind w:left="513"/>
        <w:rPr>
          <w:b/>
          <w:color w:val="000000"/>
        </w:rPr>
      </w:pPr>
      <w:r>
        <w:t xml:space="preserve">Відповідно до Технічного завдання, конкретні категорії витрат, що базуються на собівартості одиниці продукції (крім собівартості одиниці продукції відповідно до звичайної практики обліку витрат), фіксованих ставках або паушальних сумах, не підлягали включенню до цього звіту. Фінансова звітність за відповідний(і) звітний(і) період(и) містить( ять) такі витрати на загальну суму </w:t>
      </w:r>
      <w:r>
        <w:rPr>
          <w:highlight w:val="lightGray"/>
        </w:rPr>
        <w:t>[</w:t>
      </w:r>
      <w:r>
        <w:rPr>
          <w:b/>
          <w:highlight w:val="lightGray"/>
        </w:rPr>
        <w:t>вказати кількість</w:t>
      </w:r>
      <w:r>
        <w:rPr>
          <w:b/>
        </w:rPr>
        <w:t>] євро.</w:t>
      </w:r>
    </w:p>
    <w:p w14:paraId="1C5EFBAE" w14:textId="77777777" w:rsidR="004111A3" w:rsidRDefault="00A909B0">
      <w:pPr>
        <w:ind w:left="567" w:hanging="567"/>
        <w:rPr>
          <w:color w:val="000000"/>
        </w:rPr>
      </w:pPr>
      <w:r>
        <w:t xml:space="preserve">4 — </w:t>
      </w:r>
      <w:r>
        <w:tab/>
      </w:r>
      <w:r>
        <w:rPr>
          <w:color w:val="000000"/>
        </w:rPr>
        <w:t>Ми виконали узгоджені процедури щодо звітних періодів, зазначених вище.</w:t>
      </w:r>
    </w:p>
    <w:p w14:paraId="02E9F162" w14:textId="77777777" w:rsidR="004111A3" w:rsidRDefault="00A909B0">
      <w:pPr>
        <w:ind w:left="426"/>
        <w:rPr>
          <w:b/>
        </w:rPr>
      </w:pPr>
      <w:r>
        <w:rPr>
          <w:noProof/>
        </w:rPr>
        <mc:AlternateContent>
          <mc:Choice Requires="wps">
            <w:drawing>
              <wp:anchor distT="0" distB="0" distL="114300" distR="114300" simplePos="0" relativeHeight="251658240" behindDoc="0" locked="0" layoutInCell="1" hidden="0" allowOverlap="1" wp14:anchorId="253CD2A8" wp14:editId="296A329A">
                <wp:simplePos x="0" y="0"/>
                <wp:positionH relativeFrom="column">
                  <wp:posOffset>323215</wp:posOffset>
                </wp:positionH>
                <wp:positionV relativeFrom="paragraph">
                  <wp:posOffset>59690</wp:posOffset>
                </wp:positionV>
                <wp:extent cx="5467350" cy="1710690"/>
                <wp:effectExtent l="0" t="0" r="0" b="0"/>
                <wp:wrapNone/>
                <wp:docPr id="804632203" name="Прямокутник 804632203"/>
                <wp:cNvGraphicFramePr/>
                <a:graphic xmlns:a="http://schemas.openxmlformats.org/drawingml/2006/main">
                  <a:graphicData uri="http://schemas.microsoft.com/office/word/2010/wordprocessingShape">
                    <wps:wsp>
                      <wps:cNvSpPr/>
                      <wps:spPr>
                        <a:xfrm>
                          <a:off x="2631375" y="2943705"/>
                          <a:ext cx="5429250" cy="1672590"/>
                        </a:xfrm>
                        <a:prstGeom prst="rect">
                          <a:avLst/>
                        </a:prstGeom>
                        <a:solidFill>
                          <a:srgbClr val="FFFFFF"/>
                        </a:solidFill>
                        <a:ln w="19050" cap="flat" cmpd="sng">
                          <a:solidFill>
                            <a:srgbClr val="BFBFBF"/>
                          </a:solidFill>
                          <a:prstDash val="solid"/>
                          <a:miter lim="800000"/>
                          <a:headEnd type="none" w="sm" len="sm"/>
                          <a:tailEnd type="none" w="sm" len="sm"/>
                        </a:ln>
                      </wps:spPr>
                      <wps:txbx>
                        <w:txbxContent>
                          <w:p w14:paraId="527E1627" w14:textId="77777777" w:rsidR="004111A3" w:rsidRDefault="00A909B0">
                            <w:pPr>
                              <w:spacing w:before="120" w:after="120"/>
                              <w:textDirection w:val="btLr"/>
                            </w:pPr>
                            <w:r>
                              <w:rPr>
                                <w:color w:val="000000"/>
                              </w:rPr>
                              <w:t xml:space="preserve">Стандартні висновки можуть бути підтверджені, за наступними </w:t>
                            </w:r>
                            <w:r>
                              <w:rPr>
                                <w:b/>
                                <w:color w:val="000000"/>
                              </w:rPr>
                              <w:t>винятками:</w:t>
                            </w:r>
                          </w:p>
                          <w:p w14:paraId="4A24C702" w14:textId="77777777" w:rsidR="004111A3" w:rsidRDefault="00A909B0">
                            <w:pPr>
                              <w:spacing w:before="120" w:after="120"/>
                              <w:textDirection w:val="btLr"/>
                            </w:pPr>
                            <w:r>
                              <w:rPr>
                                <w:b/>
                                <w:color w:val="000000"/>
                              </w:rPr>
                              <w:t>N.[</w:t>
                            </w:r>
                            <w:r>
                              <w:rPr>
                                <w:color w:val="000000"/>
                              </w:rPr>
                              <w:t xml:space="preserve"> </w:t>
                            </w:r>
                            <w:r>
                              <w:rPr>
                                <w:b/>
                                <w:color w:val="000000"/>
                              </w:rPr>
                              <w:t xml:space="preserve">[вкажіть номер непідтвердженого стандартного результату] - [вкажіть категорію витрат] - [вкажіть суму за звітний період або "не піддається кількісній оцінці")]: [надайте фактичне пояснення результату </w:t>
                            </w:r>
                            <w:r>
                              <w:rPr>
                                <w:color w:val="000000"/>
                              </w:rPr>
                              <w:t>"НІ", наприклад, помилка в розрахунках, відсутність підтверджуючих документів, невідповідність національному законодавству тощо].</w:t>
                            </w:r>
                          </w:p>
                          <w:p w14:paraId="7FF386B1" w14:textId="77777777" w:rsidR="004111A3" w:rsidRDefault="00A909B0">
                            <w:pPr>
                              <w:spacing w:before="120" w:after="120"/>
                              <w:textDirection w:val="btLr"/>
                            </w:pPr>
                            <w:r>
                              <w:rPr>
                                <w:i/>
                                <w:color w:val="000000"/>
                              </w:rPr>
                              <w:t>Повторіть за необхідності</w:t>
                            </w:r>
                          </w:p>
                        </w:txbxContent>
                      </wps:txbx>
                      <wps:bodyPr spcFirstLastPara="1" wrap="square" lIns="91425" tIns="45700" rIns="91425" bIns="45700" anchor="t" anchorCtr="0">
                        <a:noAutofit/>
                      </wps:bodyPr>
                    </wps:wsp>
                  </a:graphicData>
                </a:graphic>
              </wp:anchor>
            </w:drawing>
          </mc:Choice>
          <mc:Fallback>
            <w:pict>
              <v:rect w14:anchorId="253CD2A8" id="Прямокутник 804632203" o:spid="_x0000_s1026" style="position:absolute;left:0;text-align:left;margin-left:25.45pt;margin-top:4.7pt;width:430.5pt;height:13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" strokecolor="#bfbfbf" strokeweight="1.5pt">
                <v:stroke startarrowwidth="narrow" startarrowlength="short" endarrowwidth="narrow" endarrowlength="short"/>
                <v:textbox inset="2.53958mm,1.2694mm,2.53958mm,1.2694mm">
                  <w:txbxContent>
                    <w:p w14:paraId="527E1627" w14:textId="77777777" w:rsidR="004111A3" w:rsidRDefault="00A909B0">
                      <w:pPr>
                        <w:spacing w:before="120" w:after="120"/>
                        <w:textDirection w:val="btLr"/>
                      </w:pPr>
                      <w:r>
                        <w:rPr>
                          <w:color w:val="000000"/>
                        </w:rPr>
                        <w:t xml:space="preserve">Стандартні висновки можуть бути підтверджені, за наступними </w:t>
                      </w:r>
                      <w:r>
                        <w:rPr>
                          <w:b/>
                          <w:color w:val="000000"/>
                        </w:rPr>
                        <w:t>винятками:</w:t>
                      </w:r>
                    </w:p>
                    <w:p w14:paraId="4A24C702" w14:textId="77777777" w:rsidR="004111A3" w:rsidRDefault="00A909B0">
                      <w:pPr>
                        <w:spacing w:before="120" w:after="120"/>
                        <w:textDirection w:val="btLr"/>
                      </w:pPr>
                      <w:r>
                        <w:rPr>
                          <w:b/>
                          <w:color w:val="000000"/>
                        </w:rPr>
                        <w:t>N.[</w:t>
                      </w:r>
                      <w:r>
                        <w:rPr>
                          <w:color w:val="000000"/>
                        </w:rPr>
                        <w:t xml:space="preserve"> </w:t>
                      </w:r>
                      <w:r>
                        <w:rPr>
                          <w:b/>
                          <w:color w:val="000000"/>
                        </w:rPr>
                        <w:t xml:space="preserve">[вкажіть номер непідтвердженого стандартного результату] - [вкажіть категорію витрат] - [вкажіть суму за звітний період або "не піддається кількісній оцінці")]: [надайте фактичне пояснення результату </w:t>
                      </w:r>
                      <w:r>
                        <w:rPr>
                          <w:color w:val="000000"/>
                        </w:rPr>
                        <w:t>"НІ", наприклад, помилка в розрахунках, відсутність підтверджуючих документів, невідповідність національному законодавству тощо].</w:t>
                      </w:r>
                    </w:p>
                    <w:p w14:paraId="7FF386B1" w14:textId="77777777" w:rsidR="004111A3" w:rsidRDefault="00A909B0">
                      <w:pPr>
                        <w:spacing w:before="120" w:after="120"/>
                        <w:textDirection w:val="btLr"/>
                      </w:pPr>
                      <w:r>
                        <w:rPr>
                          <w:i/>
                          <w:color w:val="000000"/>
                        </w:rPr>
                        <w:t>Повторіть за необхідності</w:t>
                      </w:r>
                    </w:p>
                  </w:txbxContent>
                </v:textbox>
              </v:rect>
            </w:pict>
          </mc:Fallback>
        </mc:AlternateContent>
      </w:r>
    </w:p>
    <w:p w14:paraId="63DDEA0B" w14:textId="77777777" w:rsidR="004111A3" w:rsidRDefault="004111A3">
      <w:pPr>
        <w:ind w:left="426"/>
        <w:rPr>
          <w:b/>
        </w:rPr>
      </w:pPr>
    </w:p>
    <w:p w14:paraId="53689B5A" w14:textId="77777777" w:rsidR="004111A3" w:rsidRDefault="004111A3">
      <w:pPr>
        <w:ind w:left="426"/>
      </w:pPr>
    </w:p>
    <w:p w14:paraId="6F1C9B57" w14:textId="77777777" w:rsidR="004111A3" w:rsidRDefault="004111A3">
      <w:pPr>
        <w:ind w:left="426"/>
      </w:pPr>
    </w:p>
    <w:p w14:paraId="37805C08" w14:textId="77777777" w:rsidR="004111A3" w:rsidRDefault="004111A3">
      <w:pPr>
        <w:ind w:left="426"/>
      </w:pPr>
    </w:p>
    <w:p w14:paraId="52576976" w14:textId="77777777" w:rsidR="004111A3" w:rsidRDefault="00A909B0">
      <w:pPr>
        <w:ind w:left="426"/>
      </w:pPr>
      <w:r>
        <w:rPr>
          <w:noProof/>
        </w:rPr>
        <mc:AlternateContent>
          <mc:Choice Requires="wps">
            <w:drawing>
              <wp:anchor distT="0" distB="0" distL="114300" distR="114300" simplePos="0" relativeHeight="251659264" behindDoc="0" locked="0" layoutInCell="1" hidden="0" allowOverlap="1" wp14:anchorId="6A2400EE" wp14:editId="02449324">
                <wp:simplePos x="0" y="0"/>
                <wp:positionH relativeFrom="column">
                  <wp:posOffset>323215</wp:posOffset>
                </wp:positionH>
                <wp:positionV relativeFrom="paragraph">
                  <wp:posOffset>281940</wp:posOffset>
                </wp:positionV>
                <wp:extent cx="5467350" cy="1392555"/>
                <wp:effectExtent l="0" t="0" r="0" b="0"/>
                <wp:wrapNone/>
                <wp:docPr id="804632202" name="Прямокутник 804632202"/>
                <wp:cNvGraphicFramePr/>
                <a:graphic xmlns:a="http://schemas.openxmlformats.org/drawingml/2006/main">
                  <a:graphicData uri="http://schemas.microsoft.com/office/word/2010/wordprocessingShape">
                    <wps:wsp>
                      <wps:cNvSpPr/>
                      <wps:spPr>
                        <a:xfrm>
                          <a:off x="2631375" y="3102773"/>
                          <a:ext cx="5429250" cy="1354455"/>
                        </a:xfrm>
                        <a:prstGeom prst="rect">
                          <a:avLst/>
                        </a:prstGeom>
                        <a:solidFill>
                          <a:srgbClr val="FFFFFF"/>
                        </a:solidFill>
                        <a:ln w="19050" cap="flat" cmpd="sng">
                          <a:solidFill>
                            <a:srgbClr val="BFBFBF"/>
                          </a:solidFill>
                          <a:prstDash val="solid"/>
                          <a:miter lim="800000"/>
                          <a:headEnd type="none" w="sm" len="sm"/>
                          <a:tailEnd type="none" w="sm" len="sm"/>
                        </a:ln>
                      </wps:spPr>
                      <wps:txbx>
                        <w:txbxContent>
                          <w:p w14:paraId="109069E4" w14:textId="77777777" w:rsidR="004111A3" w:rsidRDefault="00A909B0">
                            <w:pPr>
                              <w:spacing w:before="120" w:after="120"/>
                              <w:textDirection w:val="btLr"/>
                            </w:pPr>
                            <w:r>
                              <w:rPr>
                                <w:color w:val="000000"/>
                              </w:rPr>
                              <w:t xml:space="preserve">Наступні узгоджені процедури (і стандартні висновки) </w:t>
                            </w:r>
                            <w:r>
                              <w:rPr>
                                <w:b/>
                                <w:color w:val="000000"/>
                              </w:rPr>
                              <w:t>не застосовувалися:</w:t>
                            </w:r>
                          </w:p>
                          <w:p w14:paraId="0F3B149E" w14:textId="77777777" w:rsidR="004111A3" w:rsidRDefault="00A909B0">
                            <w:pPr>
                              <w:spacing w:before="120" w:after="120"/>
                              <w:textDirection w:val="btLr"/>
                            </w:pPr>
                            <w:r>
                              <w:rPr>
                                <w:b/>
                                <w:color w:val="000000"/>
                              </w:rPr>
                              <w:t xml:space="preserve">N...[вкажіть номер незастосовного AUP/стандартного висновку] - [вкажіть категорію витрат]: [надати фактичне пояснення результату </w:t>
                            </w:r>
                            <w:r>
                              <w:rPr>
                                <w:color w:val="000000"/>
                              </w:rPr>
                              <w:t>"Н.З.", наприклад, відсутність витрат, задекларованих в одній з категорій витрат].</w:t>
                            </w:r>
                          </w:p>
                          <w:p w14:paraId="68929B22" w14:textId="77777777" w:rsidR="004111A3" w:rsidRDefault="00A909B0">
                            <w:pPr>
                              <w:spacing w:before="120" w:after="120"/>
                              <w:textDirection w:val="btLr"/>
                            </w:pPr>
                            <w:r>
                              <w:rPr>
                                <w:i/>
                                <w:color w:val="000000"/>
                              </w:rPr>
                              <w:t>Repeat as needed</w:t>
                            </w:r>
                          </w:p>
                          <w:p w14:paraId="5B5647DC" w14:textId="77777777" w:rsidR="004111A3" w:rsidRDefault="004111A3">
                            <w:pPr>
                              <w:spacing w:before="120" w:after="120"/>
                              <w:textDirection w:val="btLr"/>
                            </w:pPr>
                          </w:p>
                        </w:txbxContent>
                      </wps:txbx>
                      <wps:bodyPr spcFirstLastPara="1" wrap="square" lIns="91425" tIns="45700" rIns="91425" bIns="45700" anchor="t" anchorCtr="0">
                        <a:noAutofit/>
                      </wps:bodyPr>
                    </wps:wsp>
                  </a:graphicData>
                </a:graphic>
              </wp:anchor>
            </w:drawing>
          </mc:Choice>
          <mc:Fallback>
            <w:pict>
              <v:rect w14:anchorId="6A2400EE" id="Прямокутник 804632202" o:spid="_x0000_s1027" style="position:absolute;left:0;text-align:left;margin-left:25.45pt;margin-top:22.2pt;width:430.5pt;height:109.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" strokecolor="#bfbfbf" strokeweight="1.5pt">
                <v:stroke startarrowwidth="narrow" startarrowlength="short" endarrowwidth="narrow" endarrowlength="short"/>
                <v:textbox inset="2.53958mm,1.2694mm,2.53958mm,1.2694mm">
                  <w:txbxContent>
                    <w:p w14:paraId="109069E4" w14:textId="77777777" w:rsidR="004111A3" w:rsidRDefault="00A909B0">
                      <w:pPr>
                        <w:spacing w:before="120" w:after="120"/>
                        <w:textDirection w:val="btLr"/>
                      </w:pPr>
                      <w:r>
                        <w:rPr>
                          <w:color w:val="000000"/>
                        </w:rPr>
                        <w:t xml:space="preserve">Наступні узгоджені процедури (і стандартні висновки) </w:t>
                      </w:r>
                      <w:r>
                        <w:rPr>
                          <w:b/>
                          <w:color w:val="000000"/>
                        </w:rPr>
                        <w:t>не застосовувалися:</w:t>
                      </w:r>
                    </w:p>
                    <w:p w14:paraId="0F3B149E" w14:textId="77777777" w:rsidR="004111A3" w:rsidRDefault="00A909B0">
                      <w:pPr>
                        <w:spacing w:before="120" w:after="120"/>
                        <w:textDirection w:val="btLr"/>
                      </w:pPr>
                      <w:r>
                        <w:rPr>
                          <w:b/>
                          <w:color w:val="000000"/>
                        </w:rPr>
                        <w:t xml:space="preserve">N...[вкажіть номер незастосовного AUP/стандартного висновку] - [вкажіть категорію витрат]: [надати фактичне пояснення результату </w:t>
                      </w:r>
                      <w:r>
                        <w:rPr>
                          <w:color w:val="000000"/>
                        </w:rPr>
                        <w:t>"Н.З.", наприклад, відсутність витрат, задекларованих в одній з категорій витрат].</w:t>
                      </w:r>
                    </w:p>
                    <w:p w14:paraId="68929B22" w14:textId="77777777" w:rsidR="004111A3" w:rsidRDefault="00A909B0">
                      <w:pPr>
                        <w:spacing w:before="120" w:after="120"/>
                        <w:textDirection w:val="btLr"/>
                      </w:pPr>
                      <w:r>
                        <w:rPr>
                          <w:i/>
                          <w:color w:val="000000"/>
                        </w:rPr>
                        <w:t>Repeat as needed</w:t>
                      </w:r>
                    </w:p>
                    <w:p w14:paraId="5B5647DC" w14:textId="77777777" w:rsidR="004111A3" w:rsidRDefault="004111A3">
                      <w:pPr>
                        <w:spacing w:before="120" w:after="120"/>
                        <w:textDirection w:val="btLr"/>
                      </w:pPr>
                    </w:p>
                  </w:txbxContent>
                </v:textbox>
              </v:rect>
            </w:pict>
          </mc:Fallback>
        </mc:AlternateContent>
      </w:r>
    </w:p>
    <w:p w14:paraId="7E75A370" w14:textId="77777777" w:rsidR="004111A3" w:rsidRDefault="004111A3">
      <w:pPr>
        <w:ind w:left="426"/>
        <w:jc w:val="left"/>
      </w:pPr>
    </w:p>
    <w:p w14:paraId="020BFC26" w14:textId="77777777" w:rsidR="004111A3" w:rsidRDefault="004111A3">
      <w:pPr>
        <w:ind w:left="426"/>
        <w:jc w:val="left"/>
      </w:pPr>
    </w:p>
    <w:p w14:paraId="20D4E60B" w14:textId="77777777" w:rsidR="004111A3" w:rsidRDefault="004111A3">
      <w:pPr>
        <w:ind w:left="426"/>
        <w:jc w:val="left"/>
      </w:pPr>
    </w:p>
    <w:p w14:paraId="2289FC3B" w14:textId="77777777" w:rsidR="004111A3" w:rsidRDefault="004111A3">
      <w:pPr>
        <w:ind w:left="426"/>
        <w:jc w:val="left"/>
      </w:pPr>
    </w:p>
    <w:p w14:paraId="229E31D0" w14:textId="77777777" w:rsidR="004111A3" w:rsidRDefault="004111A3">
      <w:pPr>
        <w:ind w:left="426"/>
        <w:jc w:val="left"/>
      </w:pPr>
    </w:p>
    <w:p w14:paraId="29E9ABE4" w14:textId="77777777" w:rsidR="004111A3" w:rsidRDefault="00A909B0">
      <w:pPr>
        <w:ind w:left="426"/>
      </w:pPr>
      <w:r>
        <w:rPr>
          <w:noProof/>
        </w:rPr>
        <mc:AlternateContent>
          <mc:Choice Requires="wps">
            <w:drawing>
              <wp:anchor distT="0" distB="0" distL="114300" distR="114300" simplePos="0" relativeHeight="251660288" behindDoc="0" locked="0" layoutInCell="1" hidden="0" allowOverlap="1" wp14:anchorId="1BCD760A" wp14:editId="34362CB0">
                <wp:simplePos x="0" y="0"/>
                <wp:positionH relativeFrom="column">
                  <wp:posOffset>323215</wp:posOffset>
                </wp:positionH>
                <wp:positionV relativeFrom="paragraph">
                  <wp:posOffset>-13968</wp:posOffset>
                </wp:positionV>
                <wp:extent cx="5467350" cy="1056005"/>
                <wp:effectExtent l="0" t="0" r="0" b="0"/>
                <wp:wrapNone/>
                <wp:docPr id="804632204" name="Прямокутник 804632204"/>
                <wp:cNvGraphicFramePr/>
                <a:graphic xmlns:a="http://schemas.openxmlformats.org/drawingml/2006/main">
                  <a:graphicData uri="http://schemas.microsoft.com/office/word/2010/wordprocessingShape">
                    <wps:wsp>
                      <wps:cNvSpPr/>
                      <wps:spPr>
                        <a:xfrm>
                          <a:off x="2631375" y="3271048"/>
                          <a:ext cx="5429250" cy="1017905"/>
                        </a:xfrm>
                        <a:prstGeom prst="rect">
                          <a:avLst/>
                        </a:prstGeom>
                        <a:solidFill>
                          <a:srgbClr val="FFFFFF"/>
                        </a:solidFill>
                        <a:ln w="19050" cap="flat" cmpd="sng">
                          <a:solidFill>
                            <a:srgbClr val="BFBFBF"/>
                          </a:solidFill>
                          <a:prstDash val="solid"/>
                          <a:miter lim="800000"/>
                          <a:headEnd type="none" w="sm" len="sm"/>
                          <a:tailEnd type="none" w="sm" len="sm"/>
                        </a:ln>
                      </wps:spPr>
                      <wps:txbx>
                        <w:txbxContent>
                          <w:p w14:paraId="29B8B99E" w14:textId="77777777" w:rsidR="004111A3" w:rsidRDefault="00A909B0">
                            <w:pPr>
                              <w:textDirection w:val="btLr"/>
                            </w:pPr>
                            <w:r>
                              <w:rPr>
                                <w:b/>
                                <w:color w:val="000000"/>
                              </w:rPr>
                              <w:t>Інші зауваження:</w:t>
                            </w:r>
                          </w:p>
                          <w:p w14:paraId="2EB5AB9B" w14:textId="77777777" w:rsidR="004111A3" w:rsidRDefault="00A909B0">
                            <w:pPr>
                              <w:textDirection w:val="btLr"/>
                            </w:pPr>
                            <w:r>
                              <w:rPr>
                                <w:color w:val="000000"/>
                                <w:highlight w:val="lightGray"/>
                              </w:rPr>
                              <w:t>[вставити будь-які додаткові зауваження].</w:t>
                            </w:r>
                          </w:p>
                        </w:txbxContent>
                      </wps:txbx>
                      <wps:bodyPr spcFirstLastPara="1" wrap="square" lIns="91425" tIns="45700" rIns="91425" bIns="45700" anchor="t" anchorCtr="0">
                        <a:noAutofit/>
                      </wps:bodyPr>
                    </wps:wsp>
                  </a:graphicData>
                </a:graphic>
              </wp:anchor>
            </w:drawing>
          </mc:Choice>
          <mc:Fallback>
            <w:pict>
              <v:rect w14:anchorId="1BCD760A" id="Прямокутник 804632204" o:spid="_x0000_s1028" style="position:absolute;left:0;text-align:left;margin-left:25.45pt;margin-top:-1.1pt;width:430.5pt;height:8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" strokecolor="#bfbfbf" strokeweight="1.5pt">
                <v:stroke startarrowwidth="narrow" startarrowlength="short" endarrowwidth="narrow" endarrowlength="short"/>
                <v:textbox inset="2.53958mm,1.2694mm,2.53958mm,1.2694mm">
                  <w:txbxContent>
                    <w:p w14:paraId="29B8B99E" w14:textId="77777777" w:rsidR="004111A3" w:rsidRDefault="00A909B0">
                      <w:pPr>
                        <w:textDirection w:val="btLr"/>
                      </w:pPr>
                      <w:r>
                        <w:rPr>
                          <w:b/>
                          <w:color w:val="000000"/>
                        </w:rPr>
                        <w:t>Інші зауваження:</w:t>
                      </w:r>
                    </w:p>
                    <w:p w14:paraId="2EB5AB9B" w14:textId="77777777" w:rsidR="004111A3" w:rsidRDefault="00A909B0">
                      <w:pPr>
                        <w:textDirection w:val="btLr"/>
                      </w:pPr>
                      <w:r>
                        <w:rPr>
                          <w:color w:val="000000"/>
                          <w:highlight w:val="lightGray"/>
                        </w:rPr>
                        <w:t>[вставити будь-які додаткові зауваження].</w:t>
                      </w:r>
                    </w:p>
                  </w:txbxContent>
                </v:textbox>
              </v:rect>
            </w:pict>
          </mc:Fallback>
        </mc:AlternateContent>
      </w:r>
    </w:p>
    <w:p w14:paraId="04740D91" w14:textId="77777777" w:rsidR="004111A3" w:rsidRDefault="004111A3">
      <w:pPr>
        <w:ind w:left="426"/>
      </w:pPr>
    </w:p>
    <w:p w14:paraId="73392EF1" w14:textId="77777777" w:rsidR="004111A3" w:rsidRDefault="004111A3">
      <w:pPr>
        <w:ind w:left="426"/>
      </w:pPr>
    </w:p>
    <w:p w14:paraId="73CAC763" w14:textId="77777777" w:rsidR="004111A3" w:rsidRDefault="004111A3">
      <w:pPr>
        <w:ind w:left="426"/>
      </w:pPr>
    </w:p>
    <w:p w14:paraId="45501A46" w14:textId="77777777" w:rsidR="004111A3" w:rsidRDefault="00A909B0">
      <w:pPr>
        <w:ind w:left="567" w:hanging="567"/>
      </w:pPr>
      <w:r>
        <w:lastRenderedPageBreak/>
        <w:t xml:space="preserve">5 —Учасник </w:t>
      </w:r>
      <w:r>
        <w:rPr>
          <w:b/>
        </w:rPr>
        <w:t>заплатив</w:t>
      </w:r>
      <w:r>
        <w:t xml:space="preserve"> за цей CFS [</w:t>
      </w:r>
      <w:r>
        <w:rPr>
          <w:highlight w:val="lightGray"/>
        </w:rPr>
        <w:t>вказати суму</w:t>
      </w:r>
      <w:r>
        <w:t xml:space="preserve">] </w:t>
      </w:r>
      <w:r>
        <w:rPr>
          <w:b/>
        </w:rPr>
        <w:t>євро</w:t>
      </w:r>
      <w:r>
        <w:t xml:space="preserve"> (у тому числі ПДВ у розмірі [</w:t>
      </w:r>
      <w:r>
        <w:rPr>
          <w:highlight w:val="lightGray"/>
        </w:rPr>
        <w:t>вказати суму</w:t>
      </w:r>
      <w:r>
        <w:t xml:space="preserve">] євро). </w:t>
      </w:r>
      <w:r>
        <w:rPr>
          <w:color w:val="C2D69B"/>
        </w:rPr>
        <w:t>[ВАРІАНТ 1:</w:t>
      </w:r>
      <w:r>
        <w:t xml:space="preserve"> Ці витрати є прийнятними в рамках гранту та включені у фінансовий звіт] </w:t>
      </w:r>
      <w:r>
        <w:rPr>
          <w:color w:val="C2D69B"/>
        </w:rPr>
        <w:t>[ВАРІАНТ 2:</w:t>
      </w:r>
      <w:r>
        <w:t xml:space="preserve"> Ці витрати не були віднесені до гранту</w:t>
      </w:r>
      <w:r>
        <w:rPr>
          <w:color w:val="C2D69B"/>
        </w:rPr>
        <w:t>]</w:t>
      </w:r>
      <w:r>
        <w:t>.</w:t>
      </w:r>
    </w:p>
    <w:p w14:paraId="2D0CCC44" w14:textId="77777777" w:rsidR="004111A3" w:rsidRDefault="00A909B0">
      <w:pPr>
        <w:spacing w:line="276" w:lineRule="auto"/>
      </w:pPr>
      <w:r>
        <w:rPr>
          <w:color w:val="C2D69B"/>
        </w:rPr>
        <w:t>[ВАРІАНТ:</w:t>
      </w:r>
      <w:r>
        <w:t xml:space="preserve"> Інші коментарі: </w:t>
      </w:r>
    </w:p>
    <w:p w14:paraId="5F052890" w14:textId="77777777" w:rsidR="004111A3" w:rsidRDefault="00A909B0">
      <w:r>
        <w:t>[якщо необхідно, вставити вільний текст для додавання додаткової інформації в залежності від специфіки CFS (наприклад, вимоги щодо конфіденційності), гарантуючи, що це не ставить під сумнів ТЗ, Грантову Угоду або інші застосовні положення]</w:t>
      </w:r>
      <w:r>
        <w:rPr>
          <w:color w:val="C2D69B"/>
        </w:rPr>
        <w:t>]</w:t>
      </w:r>
      <w:r>
        <w:t>.</w:t>
      </w:r>
    </w:p>
    <w:p w14:paraId="63F210AD" w14:textId="77777777" w:rsidR="004111A3" w:rsidRDefault="00A909B0">
      <w:pPr>
        <w:jc w:val="left"/>
        <w:rPr>
          <w:sz w:val="22"/>
          <w:szCs w:val="22"/>
        </w:rPr>
      </w:pPr>
      <w:r>
        <w:rPr>
          <w:b/>
          <w:sz w:val="22"/>
          <w:szCs w:val="22"/>
        </w:rPr>
        <w:t>Додатки:</w:t>
      </w:r>
      <w:r>
        <w:rPr>
          <w:sz w:val="22"/>
          <w:szCs w:val="22"/>
        </w:rPr>
        <w:t xml:space="preserve"> </w:t>
      </w:r>
      <w:r>
        <w:rPr>
          <w:sz w:val="22"/>
          <w:szCs w:val="22"/>
        </w:rPr>
        <w:tab/>
        <w:t>Технічне завдання та контрольний список AUP (підписаний та заповнений)</w:t>
      </w:r>
    </w:p>
    <w:p w14:paraId="58769A0F" w14:textId="77777777" w:rsidR="004111A3" w:rsidRDefault="004111A3">
      <w:pPr>
        <w:tabs>
          <w:tab w:val="left" w:pos="4962"/>
        </w:tabs>
        <w:spacing w:after="0"/>
        <w:jc w:val="left"/>
      </w:pPr>
    </w:p>
    <w:p w14:paraId="590109CA" w14:textId="77777777" w:rsidR="004111A3" w:rsidRDefault="004111A3">
      <w:pPr>
        <w:tabs>
          <w:tab w:val="left" w:pos="4962"/>
        </w:tabs>
        <w:spacing w:after="0"/>
        <w:jc w:val="left"/>
      </w:pPr>
    </w:p>
    <w:p w14:paraId="17E16A25" w14:textId="77777777" w:rsidR="004111A3" w:rsidRDefault="00A909B0">
      <w:pPr>
        <w:tabs>
          <w:tab w:val="left" w:pos="4962"/>
        </w:tabs>
        <w:spacing w:after="0"/>
        <w:jc w:val="left"/>
      </w:pPr>
      <w:r>
        <w:t>ПІДПИС</w:t>
      </w:r>
    </w:p>
    <w:p w14:paraId="3DB1C62A" w14:textId="77777777" w:rsidR="004111A3" w:rsidRDefault="00A909B0">
      <w:pPr>
        <w:tabs>
          <w:tab w:val="left" w:pos="4962"/>
        </w:tabs>
        <w:spacing w:after="0"/>
        <w:jc w:val="left"/>
      </w:pPr>
      <w:r>
        <w:t xml:space="preserve">Для практикуючого фахівця </w:t>
      </w:r>
    </w:p>
    <w:p w14:paraId="680BFFFD" w14:textId="77777777" w:rsidR="004111A3" w:rsidRDefault="00A909B0">
      <w:pPr>
        <w:tabs>
          <w:tab w:val="left" w:pos="4962"/>
        </w:tabs>
        <w:spacing w:after="0"/>
        <w:jc w:val="left"/>
      </w:pPr>
      <w:r>
        <w:t>[</w:t>
      </w:r>
      <w:r>
        <w:rPr>
          <w:highlight w:val="lightGray"/>
        </w:rPr>
        <w:t>ім'я/прізвище/посада</w:t>
      </w:r>
      <w:r>
        <w:t>]</w:t>
      </w:r>
    </w:p>
    <w:p w14:paraId="2F6878BC" w14:textId="77777777" w:rsidR="004111A3" w:rsidRDefault="00A909B0">
      <w:pPr>
        <w:spacing w:after="0"/>
        <w:jc w:val="left"/>
      </w:pPr>
      <w:r>
        <w:t>[</w:t>
      </w:r>
      <w:r>
        <w:rPr>
          <w:highlight w:val="lightGray"/>
        </w:rPr>
        <w:t>адреса]</w:t>
      </w:r>
    </w:p>
    <w:p w14:paraId="55EC8662" w14:textId="77777777" w:rsidR="004111A3" w:rsidRDefault="00A909B0">
      <w:pPr>
        <w:tabs>
          <w:tab w:val="left" w:pos="4962"/>
        </w:tabs>
        <w:spacing w:after="0"/>
        <w:jc w:val="left"/>
      </w:pPr>
      <w:r>
        <w:t>[</w:t>
      </w:r>
      <w:r>
        <w:rPr>
          <w:highlight w:val="lightGray"/>
        </w:rPr>
        <w:t>підпис</w:t>
      </w:r>
      <w:r>
        <w:t>]</w:t>
      </w:r>
    </w:p>
    <w:p w14:paraId="6DEC3F61" w14:textId="77777777" w:rsidR="004111A3" w:rsidRDefault="00A909B0">
      <w:r>
        <w:t>[</w:t>
      </w:r>
      <w:r>
        <w:rPr>
          <w:highlight w:val="lightGray"/>
        </w:rPr>
        <w:t>дата</w:t>
      </w:r>
      <w:r>
        <w:t>]     [</w:t>
      </w:r>
      <w:r>
        <w:rPr>
          <w:highlight w:val="lightGray"/>
        </w:rPr>
        <w:t>штамп</w:t>
      </w:r>
      <w:r>
        <w:t>]</w:t>
      </w:r>
    </w:p>
    <w:p w14:paraId="1B486E04" w14:textId="77777777" w:rsidR="004111A3" w:rsidRDefault="004111A3"/>
    <w:sectPr w:rsidR="004111A3">
      <w:pgSz w:w="11906" w:h="16838"/>
      <w:pgMar w:top="1843"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E5AF3" w14:textId="77777777" w:rsidR="00E25472" w:rsidRDefault="00E25472">
      <w:pPr>
        <w:spacing w:after="0"/>
      </w:pPr>
      <w:r>
        <w:separator/>
      </w:r>
    </w:p>
  </w:endnote>
  <w:endnote w:type="continuationSeparator" w:id="0">
    <w:p w14:paraId="2E777053" w14:textId="77777777" w:rsidR="00E25472" w:rsidRDefault="00E25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65AA" w14:textId="77777777" w:rsidR="004111A3" w:rsidRDefault="00A909B0">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34DF3">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1E9E" w14:textId="77777777" w:rsidR="00E25472" w:rsidRDefault="00E25472">
      <w:pPr>
        <w:spacing w:after="0"/>
      </w:pPr>
      <w:r>
        <w:separator/>
      </w:r>
    </w:p>
  </w:footnote>
  <w:footnote w:type="continuationSeparator" w:id="0">
    <w:p w14:paraId="033EB33C" w14:textId="77777777" w:rsidR="00E25472" w:rsidRDefault="00E25472">
      <w:pPr>
        <w:spacing w:after="0"/>
      </w:pPr>
      <w:r>
        <w:continuationSeparator/>
      </w:r>
    </w:p>
  </w:footnote>
  <w:footnote w:id="1">
    <w:p w14:paraId="5C8EA1F0" w14:textId="77777777" w:rsidR="004111A3" w:rsidRDefault="00A909B0">
      <w:pPr>
        <w:pBdr>
          <w:top w:val="nil"/>
          <w:left w:val="nil"/>
          <w:bottom w:val="nil"/>
          <w:right w:val="nil"/>
          <w:between w:val="nil"/>
        </w:pBdr>
        <w:ind w:left="284" w:hanging="284"/>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r>
        <w:rPr>
          <w:rFonts w:ascii="Verdana" w:eastAsia="Verdana" w:hAnsi="Verdana" w:cs="Verdana"/>
          <w:color w:val="000000"/>
          <w:sz w:val="16"/>
          <w:szCs w:val="16"/>
        </w:rPr>
        <w:tab/>
        <w:t>Особа повинна бути найнята або за прямим договором, підписаним між учасником та фізичною особою (не через іншу юридичну особу, наприклад, тимчасове агентство), або за договором, підписаним між учасником та юридичною особою, яка повністю належить цій фізичній особі і яка не має іншого персоналу, окрім фізичної особи, що наймається.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7826"/>
    <w:multiLevelType w:val="multilevel"/>
    <w:tmpl w:val="5618450C"/>
    <w:lvl w:ilvl="0">
      <w:start w:val="1"/>
      <w:numFmt w:val="bullet"/>
      <w:pStyle w:val="ListBullet1"/>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EB0945"/>
    <w:multiLevelType w:val="multilevel"/>
    <w:tmpl w:val="AA56337C"/>
    <w:lvl w:ilvl="0">
      <w:start w:val="1"/>
      <w:numFmt w:val="decimal"/>
      <w:pStyle w:val="2"/>
      <w:lvlText w:val="%1)"/>
      <w:lvlJc w:val="left"/>
      <w:pPr>
        <w:ind w:left="360" w:hanging="360"/>
      </w:pPr>
      <w:rPr>
        <w:rFonts w:ascii="Calibri" w:eastAsia="Calibri" w:hAnsi="Calibri" w:cs="Calibri"/>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2" w15:restartNumberingAfterBreak="0">
    <w:nsid w:val="429A41F7"/>
    <w:multiLevelType w:val="multilevel"/>
    <w:tmpl w:val="CDD05636"/>
    <w:lvl w:ilvl="0">
      <w:start w:val="1"/>
      <w:numFmt w:val="bullet"/>
      <w:pStyle w:val="ListDash1"/>
      <w:lvlText w:val="−"/>
      <w:lvlJc w:val="left"/>
      <w:pPr>
        <w:ind w:left="720" w:hanging="360"/>
      </w:pPr>
      <w:rPr>
        <w:rFonts w:ascii="Noto Sans Symbols" w:eastAsia="Noto Sans Symbols" w:hAnsi="Noto Sans Symbols" w:cs="Noto Sans Symbols"/>
        <w:sz w:val="21"/>
        <w:szCs w:val="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9F0894"/>
    <w:multiLevelType w:val="multilevel"/>
    <w:tmpl w:val="7FC4FB7C"/>
    <w:lvl w:ilvl="0">
      <w:start w:val="1"/>
      <w:numFmt w:val="bullet"/>
      <w:pStyle w:val="ListDash"/>
      <w:lvlText w:val="−"/>
      <w:lvlJc w:val="left"/>
      <w:pPr>
        <w:ind w:left="852" w:hanging="360"/>
      </w:pPr>
      <w:rPr>
        <w:rFonts w:ascii="Noto Sans Symbols" w:eastAsia="Noto Sans Symbols" w:hAnsi="Noto Sans Symbols" w:cs="Noto Sans Symbols"/>
      </w:rPr>
    </w:lvl>
    <w:lvl w:ilvl="1">
      <w:start w:val="1"/>
      <w:numFmt w:val="bullet"/>
      <w:lvlText w:val="o"/>
      <w:lvlJc w:val="left"/>
      <w:pPr>
        <w:ind w:left="1572" w:hanging="360"/>
      </w:pPr>
      <w:rPr>
        <w:rFonts w:ascii="Courier New" w:eastAsia="Courier New" w:hAnsi="Courier New" w:cs="Courier New"/>
      </w:rPr>
    </w:lvl>
    <w:lvl w:ilvl="2">
      <w:start w:val="1"/>
      <w:numFmt w:val="bullet"/>
      <w:lvlText w:val="▪"/>
      <w:lvlJc w:val="left"/>
      <w:pPr>
        <w:ind w:left="2292" w:hanging="360"/>
      </w:pPr>
      <w:rPr>
        <w:rFonts w:ascii="Noto Sans Symbols" w:eastAsia="Noto Sans Symbols" w:hAnsi="Noto Sans Symbols" w:cs="Noto Sans Symbols"/>
      </w:rPr>
    </w:lvl>
    <w:lvl w:ilvl="3">
      <w:start w:val="1"/>
      <w:numFmt w:val="bullet"/>
      <w:lvlText w:val="●"/>
      <w:lvlJc w:val="left"/>
      <w:pPr>
        <w:ind w:left="3012" w:hanging="360"/>
      </w:pPr>
      <w:rPr>
        <w:rFonts w:ascii="Noto Sans Symbols" w:eastAsia="Noto Sans Symbols" w:hAnsi="Noto Sans Symbols" w:cs="Noto Sans Symbols"/>
      </w:rPr>
    </w:lvl>
    <w:lvl w:ilvl="4">
      <w:start w:val="1"/>
      <w:numFmt w:val="bullet"/>
      <w:lvlText w:val="o"/>
      <w:lvlJc w:val="left"/>
      <w:pPr>
        <w:ind w:left="3732" w:hanging="360"/>
      </w:pPr>
      <w:rPr>
        <w:rFonts w:ascii="Courier New" w:eastAsia="Courier New" w:hAnsi="Courier New" w:cs="Courier New"/>
      </w:rPr>
    </w:lvl>
    <w:lvl w:ilvl="5">
      <w:start w:val="1"/>
      <w:numFmt w:val="bullet"/>
      <w:lvlText w:val="▪"/>
      <w:lvlJc w:val="left"/>
      <w:pPr>
        <w:ind w:left="4452" w:hanging="360"/>
      </w:pPr>
      <w:rPr>
        <w:rFonts w:ascii="Noto Sans Symbols" w:eastAsia="Noto Sans Symbols" w:hAnsi="Noto Sans Symbols" w:cs="Noto Sans Symbols"/>
      </w:rPr>
    </w:lvl>
    <w:lvl w:ilvl="6">
      <w:start w:val="1"/>
      <w:numFmt w:val="bullet"/>
      <w:lvlText w:val="●"/>
      <w:lvlJc w:val="left"/>
      <w:pPr>
        <w:ind w:left="5172" w:hanging="360"/>
      </w:pPr>
      <w:rPr>
        <w:rFonts w:ascii="Noto Sans Symbols" w:eastAsia="Noto Sans Symbols" w:hAnsi="Noto Sans Symbols" w:cs="Noto Sans Symbols"/>
      </w:rPr>
    </w:lvl>
    <w:lvl w:ilvl="7">
      <w:start w:val="1"/>
      <w:numFmt w:val="bullet"/>
      <w:lvlText w:val="o"/>
      <w:lvlJc w:val="left"/>
      <w:pPr>
        <w:ind w:left="5892" w:hanging="360"/>
      </w:pPr>
      <w:rPr>
        <w:rFonts w:ascii="Courier New" w:eastAsia="Courier New" w:hAnsi="Courier New" w:cs="Courier New"/>
      </w:rPr>
    </w:lvl>
    <w:lvl w:ilvl="8">
      <w:start w:val="1"/>
      <w:numFmt w:val="bullet"/>
      <w:lvlText w:val="▪"/>
      <w:lvlJc w:val="left"/>
      <w:pPr>
        <w:ind w:left="6612" w:hanging="360"/>
      </w:pPr>
      <w:rPr>
        <w:rFonts w:ascii="Noto Sans Symbols" w:eastAsia="Noto Sans Symbols" w:hAnsi="Noto Sans Symbols" w:cs="Noto Sans Symbols"/>
      </w:rPr>
    </w:lvl>
  </w:abstractNum>
  <w:abstractNum w:abstractNumId="4" w15:restartNumberingAfterBreak="0">
    <w:nsid w:val="4C7B45FB"/>
    <w:multiLevelType w:val="multilevel"/>
    <w:tmpl w:val="D4DC9410"/>
    <w:lvl w:ilvl="0">
      <w:start w:val="3"/>
      <w:numFmt w:val="bullet"/>
      <w:pStyle w:val="3"/>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7F3A2D"/>
    <w:multiLevelType w:val="multilevel"/>
    <w:tmpl w:val="39829A34"/>
    <w:lvl w:ilvl="0">
      <w:start w:val="1"/>
      <w:numFmt w:val="bullet"/>
      <w:pStyle w:val="a"/>
      <w:lvlText w:val="−"/>
      <w:lvlJc w:val="left"/>
      <w:pPr>
        <w:ind w:left="720" w:hanging="360"/>
      </w:pPr>
      <w:rPr>
        <w:rFonts w:ascii="Noto Sans Symbols" w:eastAsia="Noto Sans Symbols" w:hAnsi="Noto Sans Symbols" w:cs="Noto Sans Symbols"/>
        <w:i w:val="0"/>
        <w:sz w:val="21"/>
        <w:szCs w:val="21"/>
      </w:rPr>
    </w:lvl>
    <w:lvl w:ilvl="1">
      <w:start w:val="1"/>
      <w:numFmt w:val="bullet"/>
      <w:lvlText w:val="−"/>
      <w:lvlJc w:val="left"/>
      <w:pPr>
        <w:ind w:left="1440" w:hanging="360"/>
      </w:pPr>
      <w:rPr>
        <w:rFonts w:ascii="Noto Sans Symbols" w:eastAsia="Noto Sans Symbols" w:hAnsi="Noto Sans Symbols" w:cs="Noto Sans Symbols"/>
        <w:sz w:val="21"/>
        <w:szCs w:val="2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A737EE"/>
    <w:multiLevelType w:val="multilevel"/>
    <w:tmpl w:val="C69E0F34"/>
    <w:lvl w:ilvl="0">
      <w:start w:val="1"/>
      <w:numFmt w:val="bullet"/>
      <w:pStyle w:val="4"/>
      <w:lvlText w:val="−"/>
      <w:lvlJc w:val="left"/>
      <w:pPr>
        <w:ind w:left="1395" w:hanging="360"/>
      </w:pPr>
      <w:rPr>
        <w:rFonts w:ascii="Noto Sans Symbols" w:eastAsia="Noto Sans Symbols" w:hAnsi="Noto Sans Symbols" w:cs="Noto Sans Symbols"/>
      </w:rPr>
    </w:lvl>
    <w:lvl w:ilvl="1">
      <w:start w:val="1"/>
      <w:numFmt w:val="bullet"/>
      <w:lvlText w:val="o"/>
      <w:lvlJc w:val="left"/>
      <w:pPr>
        <w:ind w:left="2115" w:hanging="360"/>
      </w:pPr>
      <w:rPr>
        <w:rFonts w:ascii="Courier New" w:eastAsia="Courier New" w:hAnsi="Courier New" w:cs="Courier New"/>
      </w:rPr>
    </w:lvl>
    <w:lvl w:ilvl="2">
      <w:start w:val="1"/>
      <w:numFmt w:val="bullet"/>
      <w:lvlText w:val="▪"/>
      <w:lvlJc w:val="left"/>
      <w:pPr>
        <w:ind w:left="2835" w:hanging="360"/>
      </w:pPr>
      <w:rPr>
        <w:rFonts w:ascii="Noto Sans Symbols" w:eastAsia="Noto Sans Symbols" w:hAnsi="Noto Sans Symbols" w:cs="Noto Sans Symbols"/>
      </w:rPr>
    </w:lvl>
    <w:lvl w:ilvl="3">
      <w:start w:val="1"/>
      <w:numFmt w:val="bullet"/>
      <w:lvlText w:val="●"/>
      <w:lvlJc w:val="left"/>
      <w:pPr>
        <w:ind w:left="3555" w:hanging="360"/>
      </w:pPr>
      <w:rPr>
        <w:rFonts w:ascii="Noto Sans Symbols" w:eastAsia="Noto Sans Symbols" w:hAnsi="Noto Sans Symbols" w:cs="Noto Sans Symbols"/>
      </w:rPr>
    </w:lvl>
    <w:lvl w:ilvl="4">
      <w:start w:val="1"/>
      <w:numFmt w:val="bullet"/>
      <w:lvlText w:val="o"/>
      <w:lvlJc w:val="left"/>
      <w:pPr>
        <w:ind w:left="4275" w:hanging="360"/>
      </w:pPr>
      <w:rPr>
        <w:rFonts w:ascii="Courier New" w:eastAsia="Courier New" w:hAnsi="Courier New" w:cs="Courier New"/>
      </w:rPr>
    </w:lvl>
    <w:lvl w:ilvl="5">
      <w:start w:val="1"/>
      <w:numFmt w:val="bullet"/>
      <w:lvlText w:val="▪"/>
      <w:lvlJc w:val="left"/>
      <w:pPr>
        <w:ind w:left="4995" w:hanging="360"/>
      </w:pPr>
      <w:rPr>
        <w:rFonts w:ascii="Noto Sans Symbols" w:eastAsia="Noto Sans Symbols" w:hAnsi="Noto Sans Symbols" w:cs="Noto Sans Symbols"/>
      </w:rPr>
    </w:lvl>
    <w:lvl w:ilvl="6">
      <w:start w:val="1"/>
      <w:numFmt w:val="bullet"/>
      <w:lvlText w:val="●"/>
      <w:lvlJc w:val="left"/>
      <w:pPr>
        <w:ind w:left="5715" w:hanging="360"/>
      </w:pPr>
      <w:rPr>
        <w:rFonts w:ascii="Noto Sans Symbols" w:eastAsia="Noto Sans Symbols" w:hAnsi="Noto Sans Symbols" w:cs="Noto Sans Symbols"/>
      </w:rPr>
    </w:lvl>
    <w:lvl w:ilvl="7">
      <w:start w:val="1"/>
      <w:numFmt w:val="bullet"/>
      <w:lvlText w:val="o"/>
      <w:lvlJc w:val="left"/>
      <w:pPr>
        <w:ind w:left="6435" w:hanging="360"/>
      </w:pPr>
      <w:rPr>
        <w:rFonts w:ascii="Courier New" w:eastAsia="Courier New" w:hAnsi="Courier New" w:cs="Courier New"/>
      </w:rPr>
    </w:lvl>
    <w:lvl w:ilvl="8">
      <w:start w:val="1"/>
      <w:numFmt w:val="bullet"/>
      <w:lvlText w:val="▪"/>
      <w:lvlJc w:val="left"/>
      <w:pPr>
        <w:ind w:left="7155" w:hanging="360"/>
      </w:pPr>
      <w:rPr>
        <w:rFonts w:ascii="Noto Sans Symbols" w:eastAsia="Noto Sans Symbols" w:hAnsi="Noto Sans Symbols" w:cs="Noto Sans Symbols"/>
      </w:rPr>
    </w:lvl>
  </w:abstractNum>
  <w:abstractNum w:abstractNumId="7" w15:restartNumberingAfterBreak="0">
    <w:nsid w:val="62EB17BB"/>
    <w:multiLevelType w:val="multilevel"/>
    <w:tmpl w:val="4AB09FB2"/>
    <w:lvl w:ilvl="0">
      <w:start w:val="1"/>
      <w:numFmt w:val="bullet"/>
      <w:pStyle w:val="ListDash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B1304C3"/>
    <w:multiLevelType w:val="multilevel"/>
    <w:tmpl w:val="C4AC9104"/>
    <w:lvl w:ilvl="0">
      <w:start w:val="1"/>
      <w:numFmt w:val="bullet"/>
      <w:pStyle w:val="ListDash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4B93436"/>
    <w:multiLevelType w:val="multilevel"/>
    <w:tmpl w:val="9648CEE0"/>
    <w:lvl w:ilvl="0">
      <w:start w:val="1"/>
      <w:numFmt w:val="decimal"/>
      <w:pStyle w:val="ListDash4"/>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 w:numId="8">
    <w:abstractNumId w:val="8"/>
  </w:num>
  <w:num w:numId="9">
    <w:abstractNumId w:val="7"/>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A3"/>
    <w:rsid w:val="004111A3"/>
    <w:rsid w:val="00734DF3"/>
    <w:rsid w:val="009A4A5D"/>
    <w:rsid w:val="00A909B0"/>
    <w:rsid w:val="00E254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C396"/>
  <w15:docId w15:val="{35E64831-E0F7-4AC8-84C7-97AE274A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 w:eastAsia="uk-UA"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jc w:val="center"/>
      <w:outlineLvl w:val="0"/>
    </w:pPr>
    <w:rPr>
      <w:b/>
    </w:rPr>
  </w:style>
  <w:style w:type="paragraph" w:styleId="20">
    <w:name w:val="heading 2"/>
    <w:basedOn w:val="a0"/>
    <w:next w:val="a0"/>
    <w:uiPriority w:val="9"/>
    <w:unhideWhenUsed/>
    <w:qFormat/>
    <w:pPr>
      <w:jc w:val="left"/>
      <w:outlineLvl w:val="1"/>
    </w:pPr>
    <w:rPr>
      <w:b/>
    </w:rPr>
  </w:style>
  <w:style w:type="paragraph" w:styleId="30">
    <w:name w:val="heading 3"/>
    <w:basedOn w:val="a0"/>
    <w:next w:val="a0"/>
    <w:uiPriority w:val="9"/>
    <w:unhideWhenUsed/>
    <w:qFormat/>
    <w:pPr>
      <w:jc w:val="left"/>
      <w:outlineLvl w:val="2"/>
    </w:pPr>
    <w:rPr>
      <w:rFonts w:ascii="Verdana" w:eastAsia="Verdana" w:hAnsi="Verdana" w:cs="Verdana"/>
      <w:b/>
      <w:sz w:val="20"/>
      <w:szCs w:val="20"/>
    </w:rPr>
  </w:style>
  <w:style w:type="paragraph" w:styleId="40">
    <w:name w:val="heading 4"/>
    <w:basedOn w:val="a0"/>
    <w:next w:val="a0"/>
    <w:uiPriority w:val="9"/>
    <w:semiHidden/>
    <w:unhideWhenUsed/>
    <w:qFormat/>
    <w:pPr>
      <w:keepNext/>
      <w:keepLines/>
      <w:ind w:left="1865" w:hanging="1865"/>
      <w:outlineLvl w:val="3"/>
    </w:pPr>
    <w:rPr>
      <w:b/>
      <w:smallCaps/>
    </w:rPr>
  </w:style>
  <w:style w:type="paragraph" w:styleId="5">
    <w:name w:val="heading 5"/>
    <w:basedOn w:val="a0"/>
    <w:next w:val="a0"/>
    <w:uiPriority w:val="9"/>
    <w:semiHidden/>
    <w:unhideWhenUsed/>
    <w:qFormat/>
    <w:pPr>
      <w:keepNext/>
      <w:keepLines/>
      <w:ind w:left="720" w:hanging="720"/>
      <w:outlineLvl w:val="4"/>
    </w:pPr>
    <w:rPr>
      <w:b/>
    </w:rPr>
  </w:style>
  <w:style w:type="paragraph" w:styleId="6">
    <w:name w:val="heading 6"/>
    <w:basedOn w:val="a0"/>
    <w:next w:val="a0"/>
    <w:uiPriority w:val="9"/>
    <w:semiHidden/>
    <w:unhideWhenUsed/>
    <w:qFormat/>
    <w:pPr>
      <w:keepNext/>
      <w:keepLines/>
      <w:outlineLvl w:val="5"/>
    </w:pPr>
    <w:rPr>
      <w:b/>
      <w:small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uiPriority w:val="10"/>
    <w:qFormat/>
    <w:pPr>
      <w:pBdr>
        <w:bottom w:val="single" w:sz="8" w:space="4" w:color="4F81BD"/>
      </w:pBdr>
      <w:spacing w:after="300"/>
    </w:pPr>
    <w:rPr>
      <w:rFonts w:ascii="Cambria" w:eastAsia="Cambria" w:hAnsi="Cambria" w:cs="Cambria"/>
      <w:color w:val="17365D"/>
      <w:sz w:val="52"/>
      <w:szCs w:val="52"/>
    </w:rPr>
  </w:style>
  <w:style w:type="table" w:customStyle="1" w:styleId="TableNormal0">
    <w:name w:val="TableNormal"/>
    <w:tblPr>
      <w:tblCellMar>
        <w:top w:w="100" w:type="dxa"/>
        <w:left w:w="100" w:type="dxa"/>
        <w:bottom w:w="100" w:type="dxa"/>
        <w:right w:w="100" w:type="dxa"/>
      </w:tblCellMar>
    </w:tblPr>
  </w:style>
  <w:style w:type="character" w:customStyle="1" w:styleId="10">
    <w:name w:val="Заголовок 1 Знак"/>
    <w:basedOn w:val="a1"/>
    <w:uiPriority w:val="9"/>
    <w:rsid w:val="00835852"/>
    <w:rPr>
      <w:rFonts w:ascii="Times New Roman" w:eastAsia="Times New Roman" w:hAnsi="Times New Roman" w:cs="Times New Roman"/>
      <w:b/>
      <w:sz w:val="24"/>
      <w:szCs w:val="20"/>
    </w:rPr>
  </w:style>
  <w:style w:type="character" w:customStyle="1" w:styleId="21">
    <w:name w:val="Заголовок 2 Знак"/>
    <w:basedOn w:val="a1"/>
    <w:uiPriority w:val="9"/>
    <w:rsid w:val="00424F0F"/>
    <w:rPr>
      <w:rFonts w:ascii="Times New Roman" w:eastAsia="Times New Roman" w:hAnsi="Times New Roman" w:cs="Times New Roman"/>
      <w:b/>
      <w:sz w:val="24"/>
      <w:szCs w:val="20"/>
    </w:rPr>
  </w:style>
  <w:style w:type="character" w:customStyle="1" w:styleId="31">
    <w:name w:val="Заголовок 3 Знак"/>
    <w:basedOn w:val="a1"/>
    <w:uiPriority w:val="9"/>
    <w:rsid w:val="0063124B"/>
    <w:rPr>
      <w:rFonts w:ascii="Verdana" w:eastAsia="Times New Roman" w:hAnsi="Verdana" w:cs="Times New Roman"/>
      <w:b/>
      <w:sz w:val="20"/>
      <w:szCs w:val="20"/>
    </w:rPr>
  </w:style>
  <w:style w:type="paragraph" w:styleId="a5">
    <w:name w:val="header"/>
    <w:link w:val="a6"/>
    <w:unhideWhenUsed/>
    <w:rsid w:val="00821732"/>
    <w:pPr>
      <w:tabs>
        <w:tab w:val="center" w:pos="4536"/>
        <w:tab w:val="right" w:pos="9072"/>
      </w:tabs>
    </w:pPr>
  </w:style>
  <w:style w:type="character" w:customStyle="1" w:styleId="a6">
    <w:name w:val="Верхній колонтитул Знак"/>
    <w:basedOn w:val="a1"/>
    <w:link w:val="a5"/>
    <w:rsid w:val="00821732"/>
    <w:rPr>
      <w:rFonts w:ascii="Times New Roman" w:hAnsi="Times New Roman"/>
      <w:sz w:val="24"/>
    </w:rPr>
  </w:style>
  <w:style w:type="paragraph" w:styleId="a7">
    <w:name w:val="footer"/>
    <w:link w:val="a8"/>
    <w:uiPriority w:val="99"/>
    <w:unhideWhenUsed/>
    <w:rsid w:val="00821732"/>
    <w:pPr>
      <w:tabs>
        <w:tab w:val="center" w:pos="4536"/>
        <w:tab w:val="right" w:pos="9072"/>
      </w:tabs>
    </w:pPr>
  </w:style>
  <w:style w:type="character" w:customStyle="1" w:styleId="a8">
    <w:name w:val="Нижній колонтитул Знак"/>
    <w:basedOn w:val="a1"/>
    <w:link w:val="a7"/>
    <w:uiPriority w:val="99"/>
    <w:rsid w:val="00821732"/>
    <w:rPr>
      <w:rFonts w:ascii="Times New Roman" w:hAnsi="Times New Roman"/>
      <w:sz w:val="24"/>
    </w:rPr>
  </w:style>
  <w:style w:type="paragraph" w:customStyle="1" w:styleId="Contact">
    <w:name w:val="Contact"/>
    <w:rsid w:val="00821732"/>
    <w:pPr>
      <w:spacing w:before="480"/>
      <w:ind w:left="567" w:hanging="567"/>
      <w:jc w:val="left"/>
    </w:pPr>
    <w:rPr>
      <w:szCs w:val="20"/>
    </w:rPr>
  </w:style>
  <w:style w:type="paragraph" w:styleId="a">
    <w:name w:val="List Bullet"/>
    <w:rsid w:val="00821732"/>
    <w:pPr>
      <w:numPr>
        <w:numId w:val="1"/>
      </w:numPr>
      <w:spacing w:after="240"/>
    </w:pPr>
    <w:rPr>
      <w:szCs w:val="20"/>
    </w:rPr>
  </w:style>
  <w:style w:type="paragraph" w:customStyle="1" w:styleId="ListBullet1">
    <w:name w:val="List Bullet 1"/>
    <w:rsid w:val="00821732"/>
    <w:pPr>
      <w:numPr>
        <w:numId w:val="2"/>
      </w:numPr>
      <w:tabs>
        <w:tab w:val="num" w:pos="360"/>
      </w:tabs>
      <w:spacing w:after="240"/>
      <w:ind w:left="0" w:firstLine="0"/>
    </w:pPr>
    <w:rPr>
      <w:szCs w:val="20"/>
    </w:rPr>
  </w:style>
  <w:style w:type="paragraph" w:styleId="2">
    <w:name w:val="List Bullet 2"/>
    <w:rsid w:val="00821732"/>
    <w:pPr>
      <w:numPr>
        <w:numId w:val="3"/>
      </w:numPr>
      <w:spacing w:after="240"/>
    </w:pPr>
    <w:rPr>
      <w:szCs w:val="20"/>
    </w:rPr>
  </w:style>
  <w:style w:type="paragraph" w:styleId="3">
    <w:name w:val="List Bullet 3"/>
    <w:rsid w:val="00821732"/>
    <w:pPr>
      <w:numPr>
        <w:numId w:val="4"/>
      </w:numPr>
      <w:spacing w:after="240"/>
    </w:pPr>
    <w:rPr>
      <w:szCs w:val="20"/>
    </w:rPr>
  </w:style>
  <w:style w:type="paragraph" w:styleId="4">
    <w:name w:val="List Bullet 4"/>
    <w:rsid w:val="00821732"/>
    <w:pPr>
      <w:numPr>
        <w:numId w:val="5"/>
      </w:numPr>
      <w:spacing w:after="240"/>
    </w:pPr>
    <w:rPr>
      <w:szCs w:val="20"/>
    </w:rPr>
  </w:style>
  <w:style w:type="paragraph" w:customStyle="1" w:styleId="ListDash">
    <w:name w:val="List Dash"/>
    <w:rsid w:val="00821732"/>
    <w:pPr>
      <w:numPr>
        <w:numId w:val="6"/>
      </w:numPr>
      <w:spacing w:after="240"/>
    </w:pPr>
    <w:rPr>
      <w:szCs w:val="20"/>
    </w:rPr>
  </w:style>
  <w:style w:type="paragraph" w:customStyle="1" w:styleId="ListDash1">
    <w:name w:val="List Dash 1"/>
    <w:rsid w:val="00821732"/>
    <w:pPr>
      <w:numPr>
        <w:numId w:val="7"/>
      </w:numPr>
      <w:spacing w:after="240"/>
    </w:pPr>
    <w:rPr>
      <w:szCs w:val="20"/>
    </w:rPr>
  </w:style>
  <w:style w:type="paragraph" w:customStyle="1" w:styleId="ListDash2">
    <w:name w:val="List Dash 2"/>
    <w:rsid w:val="00821732"/>
    <w:pPr>
      <w:numPr>
        <w:numId w:val="8"/>
      </w:numPr>
      <w:spacing w:after="240"/>
    </w:pPr>
    <w:rPr>
      <w:szCs w:val="20"/>
    </w:rPr>
  </w:style>
  <w:style w:type="paragraph" w:customStyle="1" w:styleId="ListDash3">
    <w:name w:val="List Dash 3"/>
    <w:rsid w:val="00821732"/>
    <w:pPr>
      <w:numPr>
        <w:numId w:val="9"/>
      </w:numPr>
      <w:spacing w:after="240"/>
    </w:pPr>
    <w:rPr>
      <w:szCs w:val="20"/>
    </w:rPr>
  </w:style>
  <w:style w:type="paragraph" w:customStyle="1" w:styleId="ListDash4">
    <w:name w:val="List Dash 4"/>
    <w:rsid w:val="00821732"/>
    <w:pPr>
      <w:numPr>
        <w:numId w:val="10"/>
      </w:numPr>
      <w:spacing w:after="240"/>
    </w:pPr>
    <w:rPr>
      <w:szCs w:val="20"/>
    </w:rPr>
  </w:style>
  <w:style w:type="paragraph" w:styleId="a9">
    <w:name w:val="List Number"/>
    <w:rsid w:val="00821732"/>
    <w:pPr>
      <w:tabs>
        <w:tab w:val="num" w:pos="720"/>
      </w:tabs>
      <w:spacing w:after="240"/>
      <w:ind w:left="720" w:hanging="720"/>
    </w:pPr>
    <w:rPr>
      <w:szCs w:val="20"/>
    </w:rPr>
  </w:style>
  <w:style w:type="paragraph" w:customStyle="1" w:styleId="ListNumber1">
    <w:name w:val="List Number 1"/>
    <w:rsid w:val="00821732"/>
    <w:pPr>
      <w:tabs>
        <w:tab w:val="num" w:pos="720"/>
      </w:tabs>
      <w:spacing w:after="240"/>
      <w:ind w:left="720" w:hanging="720"/>
    </w:pPr>
    <w:rPr>
      <w:szCs w:val="20"/>
    </w:rPr>
  </w:style>
  <w:style w:type="paragraph" w:styleId="22">
    <w:name w:val="List Number 2"/>
    <w:rsid w:val="00821732"/>
    <w:pPr>
      <w:tabs>
        <w:tab w:val="num" w:pos="720"/>
      </w:tabs>
      <w:spacing w:after="240"/>
      <w:ind w:left="720" w:hanging="720"/>
    </w:pPr>
    <w:rPr>
      <w:szCs w:val="20"/>
    </w:rPr>
  </w:style>
  <w:style w:type="paragraph" w:styleId="32">
    <w:name w:val="List Number 3"/>
    <w:rsid w:val="00821732"/>
    <w:pPr>
      <w:tabs>
        <w:tab w:val="num" w:pos="720"/>
      </w:tabs>
      <w:spacing w:after="240"/>
      <w:ind w:left="720" w:hanging="720"/>
    </w:pPr>
    <w:rPr>
      <w:szCs w:val="20"/>
    </w:rPr>
  </w:style>
  <w:style w:type="paragraph" w:styleId="41">
    <w:name w:val="List Number 4"/>
    <w:rsid w:val="00821732"/>
    <w:pPr>
      <w:tabs>
        <w:tab w:val="num" w:pos="720"/>
      </w:tabs>
      <w:spacing w:after="240"/>
      <w:ind w:left="720" w:hanging="720"/>
    </w:pPr>
    <w:rPr>
      <w:szCs w:val="20"/>
    </w:rPr>
  </w:style>
  <w:style w:type="paragraph" w:customStyle="1" w:styleId="ListNumberLevel2">
    <w:name w:val="List Number (Level 2)"/>
    <w:rsid w:val="00821732"/>
    <w:pPr>
      <w:numPr>
        <w:ilvl w:val="1"/>
        <w:numId w:val="11"/>
      </w:numPr>
      <w:spacing w:after="240"/>
    </w:pPr>
    <w:rPr>
      <w:szCs w:val="20"/>
    </w:rPr>
  </w:style>
  <w:style w:type="paragraph" w:customStyle="1" w:styleId="ListNumber1Level2">
    <w:name w:val="List Number 1 (Level 2)"/>
    <w:rsid w:val="00821732"/>
    <w:pPr>
      <w:tabs>
        <w:tab w:val="num" w:pos="1440"/>
      </w:tabs>
      <w:spacing w:after="240"/>
      <w:ind w:left="1440" w:hanging="720"/>
    </w:pPr>
    <w:rPr>
      <w:szCs w:val="20"/>
    </w:rPr>
  </w:style>
  <w:style w:type="paragraph" w:customStyle="1" w:styleId="ListNumber2Level2">
    <w:name w:val="List Number 2 (Level 2)"/>
    <w:rsid w:val="00821732"/>
    <w:pPr>
      <w:tabs>
        <w:tab w:val="num" w:pos="360"/>
        <w:tab w:val="num" w:pos="1440"/>
      </w:tabs>
      <w:spacing w:after="240"/>
    </w:pPr>
    <w:rPr>
      <w:szCs w:val="20"/>
    </w:rPr>
  </w:style>
  <w:style w:type="paragraph" w:customStyle="1" w:styleId="ListNumber3Level2">
    <w:name w:val="List Number 3 (Level 2)"/>
    <w:rsid w:val="00821732"/>
    <w:pPr>
      <w:tabs>
        <w:tab w:val="num" w:pos="1440"/>
      </w:tabs>
      <w:spacing w:after="240"/>
      <w:ind w:left="1440" w:hanging="720"/>
    </w:pPr>
    <w:rPr>
      <w:szCs w:val="20"/>
    </w:rPr>
  </w:style>
  <w:style w:type="paragraph" w:customStyle="1" w:styleId="ListNumber4Level2">
    <w:name w:val="List Number 4 (Level 2)"/>
    <w:rsid w:val="00821732"/>
    <w:pPr>
      <w:tabs>
        <w:tab w:val="num" w:pos="1440"/>
      </w:tabs>
      <w:spacing w:after="240"/>
      <w:ind w:left="1440" w:hanging="720"/>
    </w:pPr>
    <w:rPr>
      <w:szCs w:val="20"/>
    </w:rPr>
  </w:style>
  <w:style w:type="paragraph" w:customStyle="1" w:styleId="ListNumberLevel3">
    <w:name w:val="List Number (Level 3)"/>
    <w:rsid w:val="00821732"/>
    <w:pPr>
      <w:numPr>
        <w:ilvl w:val="2"/>
        <w:numId w:val="11"/>
      </w:numPr>
      <w:spacing w:after="240"/>
    </w:pPr>
    <w:rPr>
      <w:szCs w:val="20"/>
    </w:rPr>
  </w:style>
  <w:style w:type="paragraph" w:customStyle="1" w:styleId="ListNumber1Level3">
    <w:name w:val="List Number 1 (Level 3)"/>
    <w:rsid w:val="00821732"/>
    <w:pPr>
      <w:tabs>
        <w:tab w:val="num" w:pos="2160"/>
      </w:tabs>
      <w:spacing w:after="240"/>
      <w:ind w:left="2160" w:hanging="720"/>
    </w:pPr>
    <w:rPr>
      <w:szCs w:val="20"/>
    </w:rPr>
  </w:style>
  <w:style w:type="paragraph" w:customStyle="1" w:styleId="ListNumber2Level3">
    <w:name w:val="List Number 2 (Level 3)"/>
    <w:rsid w:val="00821732"/>
    <w:pPr>
      <w:tabs>
        <w:tab w:val="num" w:pos="2160"/>
      </w:tabs>
      <w:spacing w:after="240"/>
      <w:ind w:left="2160" w:hanging="720"/>
    </w:pPr>
    <w:rPr>
      <w:szCs w:val="20"/>
    </w:rPr>
  </w:style>
  <w:style w:type="paragraph" w:customStyle="1" w:styleId="ListNumber3Level3">
    <w:name w:val="List Number 3 (Level 3)"/>
    <w:rsid w:val="00821732"/>
    <w:pPr>
      <w:tabs>
        <w:tab w:val="num" w:pos="2160"/>
      </w:tabs>
      <w:spacing w:after="240"/>
      <w:ind w:left="2160" w:hanging="720"/>
    </w:pPr>
    <w:rPr>
      <w:szCs w:val="20"/>
    </w:rPr>
  </w:style>
  <w:style w:type="paragraph" w:customStyle="1" w:styleId="ListNumber4Level3">
    <w:name w:val="List Number 4 (Level 3)"/>
    <w:rsid w:val="00821732"/>
    <w:pPr>
      <w:tabs>
        <w:tab w:val="num" w:pos="2160"/>
      </w:tabs>
      <w:spacing w:after="240"/>
      <w:ind w:left="2160" w:hanging="720"/>
    </w:pPr>
    <w:rPr>
      <w:szCs w:val="20"/>
    </w:rPr>
  </w:style>
  <w:style w:type="paragraph" w:customStyle="1" w:styleId="ListNumberLevel4">
    <w:name w:val="List Number (Level 4)"/>
    <w:rsid w:val="00821732"/>
    <w:pPr>
      <w:numPr>
        <w:ilvl w:val="3"/>
        <w:numId w:val="11"/>
      </w:numPr>
      <w:spacing w:after="240"/>
    </w:pPr>
    <w:rPr>
      <w:szCs w:val="20"/>
    </w:rPr>
  </w:style>
  <w:style w:type="paragraph" w:customStyle="1" w:styleId="ListNumber1Level4">
    <w:name w:val="List Number 1 (Level 4)"/>
    <w:rsid w:val="00821732"/>
    <w:pPr>
      <w:tabs>
        <w:tab w:val="num" w:pos="2880"/>
      </w:tabs>
      <w:spacing w:after="240"/>
      <w:ind w:left="2880" w:hanging="720"/>
    </w:pPr>
    <w:rPr>
      <w:szCs w:val="20"/>
    </w:rPr>
  </w:style>
  <w:style w:type="paragraph" w:customStyle="1" w:styleId="ListNumber2Level4">
    <w:name w:val="List Number 2 (Level 4)"/>
    <w:rsid w:val="00821732"/>
    <w:pPr>
      <w:tabs>
        <w:tab w:val="num" w:pos="2880"/>
      </w:tabs>
      <w:spacing w:after="240"/>
      <w:ind w:left="2880" w:hanging="720"/>
    </w:pPr>
    <w:rPr>
      <w:szCs w:val="20"/>
    </w:rPr>
  </w:style>
  <w:style w:type="paragraph" w:customStyle="1" w:styleId="ListNumber3Level4">
    <w:name w:val="List Number 3 (Level 4)"/>
    <w:rsid w:val="00821732"/>
    <w:pPr>
      <w:tabs>
        <w:tab w:val="num" w:pos="2880"/>
      </w:tabs>
      <w:spacing w:after="240"/>
      <w:ind w:left="2880" w:hanging="720"/>
    </w:pPr>
    <w:rPr>
      <w:szCs w:val="20"/>
    </w:rPr>
  </w:style>
  <w:style w:type="paragraph" w:customStyle="1" w:styleId="ListNumber4Level4">
    <w:name w:val="List Number 4 (Level 4)"/>
    <w:rsid w:val="00821732"/>
    <w:pPr>
      <w:tabs>
        <w:tab w:val="num" w:pos="2880"/>
      </w:tabs>
      <w:spacing w:after="240"/>
      <w:ind w:left="2880" w:hanging="720"/>
    </w:pPr>
    <w:rPr>
      <w:szCs w:val="20"/>
    </w:rPr>
  </w:style>
  <w:style w:type="paragraph" w:styleId="50">
    <w:name w:val="toc 5"/>
    <w:autoRedefine/>
    <w:uiPriority w:val="39"/>
    <w:rsid w:val="0024000C"/>
    <w:pPr>
      <w:tabs>
        <w:tab w:val="left" w:pos="1559"/>
        <w:tab w:val="right" w:leader="dot" w:pos="8789"/>
      </w:tabs>
      <w:spacing w:before="60" w:after="60"/>
      <w:ind w:left="1560" w:right="567" w:hanging="709"/>
    </w:pPr>
    <w:rPr>
      <w:szCs w:val="20"/>
    </w:rPr>
  </w:style>
  <w:style w:type="paragraph" w:styleId="aa">
    <w:name w:val="TOC Heading"/>
    <w:rsid w:val="00821732"/>
    <w:pPr>
      <w:keepNext/>
      <w:spacing w:before="240" w:after="240"/>
      <w:jc w:val="center"/>
    </w:pPr>
    <w:rPr>
      <w:b/>
      <w:szCs w:val="20"/>
    </w:rPr>
  </w:style>
  <w:style w:type="paragraph" w:styleId="11">
    <w:name w:val="toc 1"/>
    <w:autoRedefine/>
    <w:uiPriority w:val="39"/>
    <w:rsid w:val="00821732"/>
    <w:pPr>
      <w:tabs>
        <w:tab w:val="left" w:pos="1559"/>
        <w:tab w:val="right" w:leader="dot" w:pos="8789"/>
      </w:tabs>
      <w:spacing w:before="60" w:after="60"/>
      <w:ind w:left="1559" w:right="567" w:hanging="1559"/>
    </w:pPr>
    <w:rPr>
      <w:rFonts w:eastAsia="Calibri"/>
      <w:b/>
      <w:caps/>
      <w:noProof/>
      <w:szCs w:val="20"/>
    </w:rPr>
  </w:style>
  <w:style w:type="paragraph" w:styleId="23">
    <w:name w:val="toc 2"/>
    <w:autoRedefine/>
    <w:uiPriority w:val="39"/>
    <w:rsid w:val="00821732"/>
    <w:pPr>
      <w:tabs>
        <w:tab w:val="left" w:pos="1559"/>
        <w:tab w:val="right" w:leader="dot" w:pos="8789"/>
      </w:tabs>
      <w:spacing w:before="60" w:after="60"/>
      <w:ind w:left="1559" w:right="567" w:hanging="1077"/>
    </w:pPr>
    <w:rPr>
      <w:b/>
      <w:szCs w:val="20"/>
    </w:rPr>
  </w:style>
  <w:style w:type="paragraph" w:styleId="33">
    <w:name w:val="toc 3"/>
    <w:autoRedefine/>
    <w:uiPriority w:val="39"/>
    <w:rsid w:val="00821732"/>
    <w:pPr>
      <w:tabs>
        <w:tab w:val="left" w:pos="1559"/>
        <w:tab w:val="right" w:leader="dot" w:pos="8789"/>
      </w:tabs>
      <w:spacing w:before="60" w:after="60"/>
      <w:ind w:left="1559" w:right="567" w:hanging="992"/>
    </w:pPr>
    <w:rPr>
      <w:szCs w:val="20"/>
    </w:rPr>
  </w:style>
  <w:style w:type="paragraph" w:styleId="42">
    <w:name w:val="toc 4"/>
    <w:uiPriority w:val="39"/>
    <w:rsid w:val="00821732"/>
    <w:pPr>
      <w:tabs>
        <w:tab w:val="left" w:pos="1559"/>
        <w:tab w:val="right" w:leader="dot" w:pos="8789"/>
      </w:tabs>
      <w:spacing w:before="60" w:after="60"/>
      <w:ind w:left="1559" w:right="567" w:hanging="992"/>
    </w:pPr>
    <w:rPr>
      <w:szCs w:val="20"/>
    </w:rPr>
  </w:style>
  <w:style w:type="character" w:styleId="ab">
    <w:name w:val="footnote reference"/>
    <w:aliases w:val="Footnote symbol,Times 10 Point,Exposant 3 Point,Footnote number,Footnote Reference Number,Footnote reference number,Footnote Reference Superscript,EN Footnote Reference,note TESI,Voetnootverwijzing,fr,o,FR,FR1,note T, Exposant 3 Point"/>
    <w:link w:val="12"/>
    <w:uiPriority w:val="99"/>
    <w:rsid w:val="000F02DB"/>
    <w:rPr>
      <w:rFonts w:ascii="Times New Roman" w:hAnsi="Times New Roman" w:cs="Times New Roman"/>
      <w:strike w:val="0"/>
      <w:dstrike w:val="0"/>
      <w:position w:val="4"/>
      <w:sz w:val="20"/>
      <w:vertAlign w:val="superscript"/>
    </w:rPr>
  </w:style>
  <w:style w:type="paragraph" w:styleId="ac">
    <w:name w:val="footnote text"/>
    <w:aliases w:val="Schriftart: 9 pt,Schriftart: 10 pt,Schriftart: 8 pt,WB-Fußnotentext,FoodNote,ft,Footnote text,Footnote,Footnote Text Char1,Footnote Text Char Char,Footnote Text Char1 Char Char,Footnote Text Char Char Char Char,fn,f,Char,Voetnoottekst Char"/>
    <w:link w:val="ad"/>
    <w:uiPriority w:val="99"/>
    <w:rsid w:val="00821732"/>
    <w:pPr>
      <w:ind w:left="284" w:hanging="284"/>
    </w:pPr>
    <w:rPr>
      <w:szCs w:val="20"/>
      <w:lang w:val="fr-FR" w:eastAsia="zh-CN"/>
    </w:rPr>
  </w:style>
  <w:style w:type="character" w:customStyle="1" w:styleId="ad">
    <w:name w:val="Текст виноски Знак"/>
    <w:aliases w:val="Schriftart: 9 pt Знак,Schriftart: 10 pt Знак,Schriftart: 8 pt Знак,WB-Fußnotentext Знак,FoodNote Знак,ft Знак,Footnote text Знак,Footnote Знак,Footnote Text Char1 Знак,Footnote Text Char Char Знак,Footnote Text Char1 Char Char Знак"/>
    <w:basedOn w:val="a1"/>
    <w:link w:val="ac"/>
    <w:uiPriority w:val="99"/>
    <w:rsid w:val="00821732"/>
    <w:rPr>
      <w:rFonts w:ascii="Times New Roman" w:eastAsia="Times New Roman" w:hAnsi="Times New Roman" w:cs="Times New Roman"/>
      <w:sz w:val="20"/>
      <w:szCs w:val="20"/>
      <w:lang w:val="fr-FR" w:eastAsia="zh-CN"/>
    </w:rPr>
  </w:style>
  <w:style w:type="character" w:styleId="ae">
    <w:name w:val="annotation reference"/>
    <w:uiPriority w:val="99"/>
    <w:rsid w:val="00821732"/>
    <w:rPr>
      <w:rFonts w:cs="Times New Roman"/>
      <w:sz w:val="16"/>
      <w:szCs w:val="16"/>
    </w:rPr>
  </w:style>
  <w:style w:type="paragraph" w:styleId="af">
    <w:name w:val="annotation text"/>
    <w:link w:val="af0"/>
    <w:uiPriority w:val="99"/>
    <w:rsid w:val="00821732"/>
    <w:rPr>
      <w:szCs w:val="20"/>
      <w:lang w:eastAsia="zh-CN"/>
    </w:rPr>
  </w:style>
  <w:style w:type="character" w:customStyle="1" w:styleId="af0">
    <w:name w:val="Текст примітки Знак"/>
    <w:basedOn w:val="a1"/>
    <w:link w:val="af"/>
    <w:uiPriority w:val="99"/>
    <w:rsid w:val="00821732"/>
    <w:rPr>
      <w:rFonts w:ascii="Times New Roman" w:eastAsia="Times New Roman" w:hAnsi="Times New Roman" w:cs="Times New Roman"/>
      <w:sz w:val="20"/>
      <w:szCs w:val="20"/>
      <w:lang w:eastAsia="zh-CN"/>
    </w:rPr>
  </w:style>
  <w:style w:type="paragraph" w:customStyle="1" w:styleId="Article">
    <w:name w:val="Article"/>
    <w:link w:val="ArticleChar"/>
    <w:rsid w:val="007B00AC"/>
    <w:pPr>
      <w:ind w:left="1867" w:hanging="1867"/>
    </w:pPr>
    <w:rPr>
      <w:rFonts w:eastAsia="Calibri"/>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pPr>
    <w:rPr>
      <w:rFonts w:eastAsia="Calibri"/>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rsid w:val="00821732"/>
    <w:pPr>
      <w:widowControl w:val="0"/>
      <w:ind w:right="85"/>
    </w:pPr>
    <w:rPr>
      <w:rFonts w:ascii="Arial" w:hAnsi="Arial"/>
      <w:snapToGrid w:val="0"/>
      <w:szCs w:val="20"/>
    </w:rPr>
  </w:style>
  <w:style w:type="character" w:styleId="af1">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pPr>
    <w:rPr>
      <w:rFonts w:eastAsia="Calibri"/>
      <w:color w:val="000000"/>
      <w:lang w:eastAsia="en-GB"/>
    </w:rPr>
  </w:style>
  <w:style w:type="paragraph" w:customStyle="1" w:styleId="Style1">
    <w:name w:val="Style1"/>
    <w:link w:val="Style1Char"/>
    <w:rsid w:val="00821732"/>
    <w:pPr>
      <w:ind w:left="851" w:hanging="360"/>
      <w:contextualSpacing/>
    </w:pPr>
    <w:rPr>
      <w:rFonts w:eastAsia="Calibri"/>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link w:val="ChapterChar"/>
    <w:rsid w:val="007B00AC"/>
    <w:pPr>
      <w:ind w:left="1800" w:hanging="1800"/>
    </w:pPr>
    <w:rPr>
      <w:rFonts w:eastAsia="Calibri"/>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link w:val="SubarticleChar"/>
    <w:rsid w:val="004D5EF5"/>
    <w:rPr>
      <w:rFonts w:eastAsia="Calibri"/>
      <w:szCs w:val="20"/>
    </w:rPr>
  </w:style>
  <w:style w:type="paragraph" w:customStyle="1" w:styleId="Section">
    <w:name w:val="Section"/>
    <w:link w:val="SectionChar"/>
    <w:rsid w:val="007B00AC"/>
    <w:pPr>
      <w:ind w:left="1620" w:hanging="1620"/>
    </w:pPr>
    <w:rPr>
      <w:rFonts w:eastAsia="Calibri"/>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af2">
    <w:name w:val="Strong"/>
    <w:uiPriority w:val="22"/>
    <w:qFormat/>
    <w:rsid w:val="00821732"/>
    <w:rPr>
      <w:b w:val="0"/>
      <w:bCs/>
    </w:rPr>
  </w:style>
  <w:style w:type="paragraph" w:customStyle="1" w:styleId="ColorfulList-Accent11">
    <w:name w:val="Colorful List - Accent 11"/>
    <w:link w:val="ColorfulList-Accent1Char"/>
    <w:uiPriority w:val="34"/>
    <w:rsid w:val="00821732"/>
    <w:pPr>
      <w:ind w:left="720"/>
      <w:contextualSpacing/>
    </w:pPr>
    <w:rPr>
      <w:rFonts w:asciiTheme="minorHAnsi" w:hAnsiTheme="minorHAnsi"/>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af3">
    <w:name w:val="List Paragraph"/>
    <w:link w:val="af4"/>
    <w:uiPriority w:val="34"/>
    <w:qFormat/>
    <w:rsid w:val="00597238"/>
    <w:pPr>
      <w:ind w:left="720"/>
    </w:pPr>
  </w:style>
  <w:style w:type="character" w:customStyle="1" w:styleId="af4">
    <w:name w:val="Абзац списку Знак"/>
    <w:link w:val="af3"/>
    <w:uiPriority w:val="34"/>
    <w:rsid w:val="00597238"/>
    <w:rPr>
      <w:rFonts w:ascii="Times New Roman" w:eastAsia="Times New Roman" w:hAnsi="Times New Roman" w:cs="Times New Roman"/>
      <w:sz w:val="24"/>
    </w:rPr>
  </w:style>
  <w:style w:type="paragraph" w:styleId="60">
    <w:name w:val="toc 6"/>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7">
    <w:name w:val="toc 7"/>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8">
    <w:name w:val="toc 8"/>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9">
    <w:name w:val="toc 9"/>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af5">
    <w:name w:val="Balloon Text"/>
    <w:link w:val="af6"/>
    <w:uiPriority w:val="99"/>
    <w:semiHidden/>
    <w:unhideWhenUsed/>
    <w:rsid w:val="00EF740D"/>
    <w:rPr>
      <w:rFonts w:ascii="Tahoma" w:hAnsi="Tahoma" w:cs="Tahoma"/>
      <w:sz w:val="16"/>
      <w:szCs w:val="16"/>
    </w:rPr>
  </w:style>
  <w:style w:type="character" w:customStyle="1" w:styleId="af6">
    <w:name w:val="Текст у виносці Знак"/>
    <w:basedOn w:val="a1"/>
    <w:link w:val="af5"/>
    <w:uiPriority w:val="99"/>
    <w:semiHidden/>
    <w:rsid w:val="00EF740D"/>
    <w:rPr>
      <w:rFonts w:ascii="Tahoma" w:hAnsi="Tahoma" w:cs="Tahoma"/>
      <w:sz w:val="16"/>
      <w:szCs w:val="16"/>
    </w:rPr>
  </w:style>
  <w:style w:type="paragraph" w:styleId="af7">
    <w:name w:val="annotation subject"/>
    <w:basedOn w:val="af"/>
    <w:next w:val="af"/>
    <w:link w:val="af8"/>
    <w:uiPriority w:val="99"/>
    <w:semiHidden/>
    <w:unhideWhenUsed/>
    <w:rsid w:val="00D02D3D"/>
    <w:rPr>
      <w:rFonts w:eastAsiaTheme="minorHAnsi" w:cstheme="minorBidi"/>
      <w:b/>
      <w:bCs/>
      <w:lang w:eastAsia="en-US"/>
    </w:rPr>
  </w:style>
  <w:style w:type="character" w:customStyle="1" w:styleId="af8">
    <w:name w:val="Тема примітки Знак"/>
    <w:basedOn w:val="af0"/>
    <w:link w:val="af7"/>
    <w:uiPriority w:val="99"/>
    <w:semiHidden/>
    <w:rsid w:val="00D02D3D"/>
    <w:rPr>
      <w:rFonts w:ascii="Times New Roman" w:eastAsia="Times New Roman" w:hAnsi="Times New Roman" w:cs="Times New Roman"/>
      <w:b/>
      <w:bCs/>
      <w:sz w:val="20"/>
      <w:szCs w:val="20"/>
      <w:lang w:eastAsia="zh-CN"/>
    </w:rPr>
  </w:style>
  <w:style w:type="character" w:customStyle="1" w:styleId="af9">
    <w:name w:val="Назва Знак"/>
    <w:basedOn w:val="a1"/>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afa">
    <w:name w:val="Revision"/>
    <w:hidden/>
    <w:uiPriority w:val="99"/>
    <w:semiHidden/>
    <w:rsid w:val="00D37A46"/>
    <w:pPr>
      <w:spacing w:after="0"/>
    </w:pPr>
  </w:style>
  <w:style w:type="character" w:customStyle="1" w:styleId="51">
    <w:name w:val="Заголовок 5 Знак"/>
    <w:basedOn w:val="a1"/>
    <w:uiPriority w:val="9"/>
    <w:semiHidden/>
    <w:rsid w:val="004D5EF5"/>
    <w:rPr>
      <w:rFonts w:ascii="Times New Roman" w:eastAsiaTheme="majorEastAsia" w:hAnsi="Times New Roman" w:cstheme="majorBidi"/>
      <w:b/>
      <w:sz w:val="24"/>
    </w:rPr>
  </w:style>
  <w:style w:type="character" w:customStyle="1" w:styleId="43">
    <w:name w:val="Заголовок 4 Знак"/>
    <w:basedOn w:val="a1"/>
    <w:uiPriority w:val="9"/>
    <w:semiHidden/>
    <w:rsid w:val="004D5EF5"/>
    <w:rPr>
      <w:rFonts w:ascii="Times New Roman Bold" w:eastAsiaTheme="majorEastAsia" w:hAnsi="Times New Roman Bold" w:cstheme="majorBidi"/>
      <w:b/>
      <w:bCs/>
      <w:iCs/>
      <w:caps/>
      <w:sz w:val="24"/>
    </w:rPr>
  </w:style>
  <w:style w:type="paragraph" w:customStyle="1" w:styleId="Annex">
    <w:name w:val="Annex"/>
    <w:rsid w:val="00795C2B"/>
    <w:pPr>
      <w:jc w:val="right"/>
    </w:pPr>
    <w:rPr>
      <w:color w:val="000000"/>
      <w:lang w:val="en-US"/>
    </w:rPr>
  </w:style>
  <w:style w:type="character" w:customStyle="1" w:styleId="61">
    <w:name w:val="Заголовок 6 Знак"/>
    <w:basedOn w:val="a1"/>
    <w:uiPriority w:val="9"/>
    <w:semiHidden/>
    <w:rsid w:val="00795C2B"/>
    <w:rPr>
      <w:rFonts w:ascii="Times New Roman Bold" w:eastAsiaTheme="majorEastAsia" w:hAnsi="Times New Roman Bold" w:cstheme="majorBidi"/>
      <w:b/>
      <w:iCs/>
      <w:caps/>
      <w:sz w:val="24"/>
    </w:rPr>
  </w:style>
  <w:style w:type="paragraph" w:customStyle="1" w:styleId="12">
    <w:name w:val="1"/>
    <w:link w:val="ab"/>
    <w:uiPriority w:val="99"/>
    <w:rsid w:val="00CC501F"/>
    <w:pPr>
      <w:spacing w:after="160" w:line="240" w:lineRule="exact"/>
    </w:pPr>
    <w:rPr>
      <w:position w:val="4"/>
      <w:vertAlign w:val="superscript"/>
    </w:rPr>
  </w:style>
  <w:style w:type="character" w:styleId="afb">
    <w:name w:val="FollowedHyperlink"/>
    <w:basedOn w:val="a1"/>
    <w:uiPriority w:val="99"/>
    <w:semiHidden/>
    <w:unhideWhenUsed/>
    <w:rsid w:val="00645EBA"/>
    <w:rPr>
      <w:color w:val="800080" w:themeColor="followedHyperlink"/>
      <w:u w:val="single"/>
    </w:rPr>
  </w:style>
  <w:style w:type="table" w:styleId="afc">
    <w:name w:val="Table Grid"/>
    <w:basedOn w:val="a2"/>
    <w:uiPriority w:val="59"/>
    <w:rsid w:val="00FD45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3807AF"/>
    <w:rPr>
      <w:color w:val="605E5C"/>
      <w:shd w:val="clear" w:color="auto" w:fill="E1DFDD"/>
    </w:rPr>
  </w:style>
  <w:style w:type="paragraph" w:customStyle="1" w:styleId="BoxAttention">
    <w:name w:val="BoxAttention"/>
    <w:link w:val="BoxAttentionChar"/>
    <w:rsid w:val="003807AF"/>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ind w:left="644" w:right="147" w:hanging="360"/>
    </w:pPr>
    <w:rPr>
      <w:rFonts w:ascii="Verdana" w:eastAsia="Calibri" w:hAnsi="Verdana"/>
      <w:color w:val="AF873F"/>
      <w:sz w:val="18"/>
      <w:szCs w:val="20"/>
      <w:lang w:eastAsia="en-GB"/>
    </w:rPr>
  </w:style>
  <w:style w:type="character" w:customStyle="1" w:styleId="BoxAttentionChar">
    <w:name w:val="BoxAttention Char"/>
    <w:link w:val="BoxAttention"/>
    <w:rsid w:val="003807AF"/>
    <w:rPr>
      <w:rFonts w:ascii="Verdana" w:eastAsia="Calibri" w:hAnsi="Verdana" w:cs="Times New Roman"/>
      <w:color w:val="AF873F"/>
      <w:sz w:val="18"/>
      <w:szCs w:val="20"/>
      <w:shd w:val="clear" w:color="auto" w:fill="FFF8E3"/>
      <w:lang w:eastAsia="en-GB"/>
    </w:rPr>
  </w:style>
  <w:style w:type="paragraph" w:styleId="afd">
    <w:name w:val="Normal (Web)"/>
    <w:uiPriority w:val="99"/>
    <w:unhideWhenUsed/>
    <w:rsid w:val="004E6744"/>
    <w:pPr>
      <w:spacing w:before="100" w:beforeAutospacing="1" w:after="100" w:afterAutospacing="1"/>
      <w:jc w:val="left"/>
    </w:pPr>
    <w:rPr>
      <w:lang w:val="en-IE" w:eastAsia="en-IE"/>
    </w:rPr>
  </w:style>
  <w:style w:type="character" w:customStyle="1" w:styleId="cf01">
    <w:name w:val="cf01"/>
    <w:basedOn w:val="a1"/>
    <w:rsid w:val="00554D08"/>
    <w:rPr>
      <w:rFonts w:ascii="Segoe UI" w:hAnsi="Segoe UI" w:cs="Segoe UI" w:hint="default"/>
      <w:i/>
      <w:iCs/>
      <w:sz w:val="18"/>
      <w:szCs w:val="18"/>
    </w:rPr>
  </w:style>
  <w:style w:type="character" w:customStyle="1" w:styleId="cf11">
    <w:name w:val="cf11"/>
    <w:basedOn w:val="a1"/>
    <w:rsid w:val="009F6C4A"/>
    <w:rPr>
      <w:rFonts w:ascii="Segoe UI" w:hAnsi="Segoe UI" w:cs="Segoe UI" w:hint="default"/>
      <w:sz w:val="18"/>
      <w:szCs w:val="18"/>
    </w:rPr>
  </w:style>
  <w:style w:type="character" w:customStyle="1" w:styleId="ui-provider">
    <w:name w:val="ui-provider"/>
    <w:basedOn w:val="a1"/>
    <w:rsid w:val="006901A7"/>
  </w:style>
  <w:style w:type="paragraph" w:customStyle="1" w:styleId="pf0">
    <w:name w:val="pf0"/>
    <w:rsid w:val="000F5AD2"/>
    <w:pPr>
      <w:spacing w:before="100" w:beforeAutospacing="1" w:after="100" w:afterAutospacing="1"/>
      <w:jc w:val="left"/>
    </w:pPr>
    <w:rPr>
      <w:lang w:val="en-IE" w:eastAsia="en-IE"/>
    </w:rPr>
  </w:style>
  <w:style w:type="character" w:customStyle="1" w:styleId="cf21">
    <w:name w:val="cf21"/>
    <w:basedOn w:val="a1"/>
    <w:rsid w:val="000F5AD2"/>
    <w:rPr>
      <w:rFonts w:ascii="Segoe UI" w:hAnsi="Segoe UI" w:cs="Segoe UI" w:hint="default"/>
      <w:sz w:val="18"/>
      <w:szCs w:val="18"/>
    </w:rPr>
  </w:style>
  <w:style w:type="character" w:customStyle="1" w:styleId="cf41">
    <w:name w:val="cf41"/>
    <w:basedOn w:val="a1"/>
    <w:rsid w:val="000F5AD2"/>
    <w:rPr>
      <w:rFonts w:ascii="Segoe UI" w:hAnsi="Segoe UI" w:cs="Segoe UI" w:hint="default"/>
      <w:sz w:val="18"/>
      <w:szCs w:val="18"/>
    </w:rPr>
  </w:style>
  <w:style w:type="character" w:customStyle="1" w:styleId="apple-converted-space">
    <w:name w:val="apple-converted-space"/>
    <w:basedOn w:val="a1"/>
    <w:rsid w:val="001D59E8"/>
  </w:style>
  <w:style w:type="table" w:customStyle="1" w:styleId="afe">
    <w:basedOn w:val="TableNormal0"/>
    <w:tblPr>
      <w:tblStyleRowBandSize w:val="1"/>
      <w:tblStyleColBandSize w:val="1"/>
      <w:tblCellMar>
        <w:top w:w="0" w:type="dxa"/>
        <w:left w:w="10" w:type="dxa"/>
        <w:bottom w:w="0" w:type="dxa"/>
        <w:right w:w="10" w:type="dxa"/>
      </w:tblCellMar>
    </w:tblPr>
  </w:style>
  <w:style w:type="table" w:customStyle="1" w:styleId="aff">
    <w:basedOn w:val="TableNormal0"/>
    <w:tblPr>
      <w:tblStyleRowBandSize w:val="1"/>
      <w:tblStyleColBandSize w:val="1"/>
      <w:tblCellMar>
        <w:top w:w="0" w:type="dxa"/>
        <w:left w:w="10" w:type="dxa"/>
        <w:bottom w:w="0" w:type="dxa"/>
        <w:right w:w="10" w:type="dxa"/>
      </w:tblCellMar>
    </w:tblPr>
  </w:style>
  <w:style w:type="table" w:customStyle="1" w:styleId="aff0">
    <w:basedOn w:val="TableNormal0"/>
    <w:tblPr>
      <w:tblStyleRowBandSize w:val="1"/>
      <w:tblStyleColBandSize w:val="1"/>
      <w:tblCellMar>
        <w:top w:w="0" w:type="dxa"/>
        <w:left w:w="10" w:type="dxa"/>
        <w:bottom w:w="0" w:type="dxa"/>
        <w:right w:w="10" w:type="dxa"/>
      </w:tblCellMar>
    </w:tblPr>
  </w:style>
  <w:style w:type="table" w:customStyle="1" w:styleId="aff1">
    <w:basedOn w:val="TableNormal0"/>
    <w:tblPr>
      <w:tblStyleRowBandSize w:val="1"/>
      <w:tblStyleColBandSize w:val="1"/>
      <w:tblCellMar>
        <w:top w:w="0" w:type="dxa"/>
        <w:left w:w="10" w:type="dxa"/>
        <w:bottom w:w="0" w:type="dxa"/>
        <w:right w:w="10" w:type="dxa"/>
      </w:tblCellMar>
    </w:tblPr>
  </w:style>
  <w:style w:type="table" w:customStyle="1" w:styleId="aff2">
    <w:basedOn w:val="TableNormal0"/>
    <w:tblPr>
      <w:tblStyleRowBandSize w:val="1"/>
      <w:tblStyleColBandSize w:val="1"/>
      <w:tblCellMar>
        <w:top w:w="0" w:type="dxa"/>
        <w:left w:w="10" w:type="dxa"/>
        <w:bottom w:w="0" w:type="dxa"/>
        <w:right w:w="10" w:type="dxa"/>
      </w:tblCellMar>
    </w:tblPr>
  </w:style>
  <w:style w:type="table" w:customStyle="1" w:styleId="aff3">
    <w:basedOn w:val="TableNormal0"/>
    <w:tblPr>
      <w:tblStyleRowBandSize w:val="1"/>
      <w:tblStyleColBandSize w:val="1"/>
      <w:tblCellMar>
        <w:top w:w="0" w:type="dxa"/>
        <w:left w:w="10" w:type="dxa"/>
        <w:bottom w:w="0" w:type="dxa"/>
        <w:right w:w="10" w:type="dxa"/>
      </w:tblCellMar>
    </w:tblPr>
  </w:style>
  <w:style w:type="table" w:customStyle="1" w:styleId="aff4">
    <w:basedOn w:val="TableNormal0"/>
    <w:tblPr>
      <w:tblStyleRowBandSize w:val="1"/>
      <w:tblStyleColBandSize w:val="1"/>
      <w:tblCellMar>
        <w:top w:w="0" w:type="dxa"/>
        <w:left w:w="10" w:type="dxa"/>
        <w:bottom w:w="0" w:type="dxa"/>
        <w:right w:w="10" w:type="dxa"/>
      </w:tblCellMar>
    </w:tblPr>
  </w:style>
  <w:style w:type="table" w:customStyle="1" w:styleId="aff5">
    <w:basedOn w:val="TableNormal0"/>
    <w:tblPr>
      <w:tblStyleRowBandSize w:val="1"/>
      <w:tblStyleColBandSize w:val="1"/>
      <w:tblCellMar>
        <w:top w:w="0" w:type="dxa"/>
        <w:left w:w="10" w:type="dxa"/>
        <w:bottom w:w="0" w:type="dxa"/>
        <w:right w:w="10" w:type="dxa"/>
      </w:tblCellMar>
    </w:tblPr>
  </w:style>
  <w:style w:type="table" w:customStyle="1" w:styleId="aff6">
    <w:basedOn w:val="TableNormal0"/>
    <w:tblPr>
      <w:tblStyleRowBandSize w:val="1"/>
      <w:tblStyleColBandSize w:val="1"/>
      <w:tblCellMar>
        <w:top w:w="0" w:type="dxa"/>
        <w:left w:w="10" w:type="dxa"/>
        <w:bottom w:w="0" w:type="dxa"/>
        <w:right w:w="10" w:type="dxa"/>
      </w:tblCellMar>
    </w:tblPr>
  </w:style>
  <w:style w:type="table" w:customStyle="1" w:styleId="aff7">
    <w:basedOn w:val="TableNormal0"/>
    <w:tblPr>
      <w:tblStyleRowBandSize w:val="1"/>
      <w:tblStyleColBandSize w:val="1"/>
      <w:tblCellMar>
        <w:top w:w="0" w:type="dxa"/>
        <w:left w:w="10" w:type="dxa"/>
        <w:bottom w:w="0" w:type="dxa"/>
        <w:right w:w="10" w:type="dxa"/>
      </w:tblCellMar>
    </w:tblPr>
  </w:style>
  <w:style w:type="table" w:customStyle="1" w:styleId="aff8">
    <w:basedOn w:val="TableNormal0"/>
    <w:tblPr>
      <w:tblStyleRowBandSize w:val="1"/>
      <w:tblStyleColBandSize w:val="1"/>
      <w:tblCellMar>
        <w:top w:w="0" w:type="dxa"/>
        <w:left w:w="10" w:type="dxa"/>
        <w:bottom w:w="0" w:type="dxa"/>
        <w:right w:w="10" w:type="dxa"/>
      </w:tblCellMar>
    </w:tblPr>
  </w:style>
  <w:style w:type="table" w:customStyle="1" w:styleId="aff9">
    <w:basedOn w:val="TableNormal0"/>
    <w:tblPr>
      <w:tblStyleRowBandSize w:val="1"/>
      <w:tblStyleColBandSize w:val="1"/>
      <w:tblCellMar>
        <w:top w:w="0" w:type="dxa"/>
        <w:left w:w="10" w:type="dxa"/>
        <w:bottom w:w="0" w:type="dxa"/>
        <w:right w:w="10" w:type="dxa"/>
      </w:tblCellMar>
    </w:tblPr>
  </w:style>
  <w:style w:type="table" w:customStyle="1" w:styleId="affa">
    <w:basedOn w:val="TableNormal0"/>
    <w:tblPr>
      <w:tblStyleRowBandSize w:val="1"/>
      <w:tblStyleColBandSize w:val="1"/>
      <w:tblCellMar>
        <w:top w:w="0" w:type="dxa"/>
        <w:left w:w="10" w:type="dxa"/>
        <w:bottom w:w="0" w:type="dxa"/>
        <w:right w:w="10"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paragraph" w:styleId="affc">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fd">
    <w:basedOn w:val="TableNormal0"/>
    <w:tblPr>
      <w:tblStyleRowBandSize w:val="1"/>
      <w:tblStyleColBandSize w:val="1"/>
      <w:tblCellMar>
        <w:top w:w="0" w:type="dxa"/>
        <w:left w:w="10" w:type="dxa"/>
        <w:bottom w:w="0" w:type="dxa"/>
        <w:right w:w="10" w:type="dxa"/>
      </w:tblCellMar>
    </w:tblPr>
  </w:style>
  <w:style w:type="table" w:customStyle="1" w:styleId="affe">
    <w:basedOn w:val="TableNormal0"/>
    <w:tblPr>
      <w:tblStyleRowBandSize w:val="1"/>
      <w:tblStyleColBandSize w:val="1"/>
      <w:tblCellMar>
        <w:top w:w="0" w:type="dxa"/>
        <w:left w:w="10" w:type="dxa"/>
        <w:bottom w:w="0" w:type="dxa"/>
        <w:right w:w="10" w:type="dxa"/>
      </w:tblCellMar>
    </w:tblPr>
  </w:style>
  <w:style w:type="table" w:customStyle="1" w:styleId="afff">
    <w:basedOn w:val="TableNormal0"/>
    <w:tblPr>
      <w:tblStyleRowBandSize w:val="1"/>
      <w:tblStyleColBandSize w:val="1"/>
      <w:tblCellMar>
        <w:top w:w="0" w:type="dxa"/>
        <w:left w:w="10" w:type="dxa"/>
        <w:bottom w:w="0" w:type="dxa"/>
        <w:right w:w="10" w:type="dxa"/>
      </w:tblCellMar>
    </w:tblPr>
  </w:style>
  <w:style w:type="table" w:customStyle="1" w:styleId="afff0">
    <w:basedOn w:val="TableNormal0"/>
    <w:tblPr>
      <w:tblStyleRowBandSize w:val="1"/>
      <w:tblStyleColBandSize w:val="1"/>
      <w:tblCellMar>
        <w:top w:w="0" w:type="dxa"/>
        <w:left w:w="10" w:type="dxa"/>
        <w:bottom w:w="0" w:type="dxa"/>
        <w:right w:w="10" w:type="dxa"/>
      </w:tblCellMar>
    </w:tblPr>
  </w:style>
  <w:style w:type="table" w:customStyle="1" w:styleId="afff1">
    <w:basedOn w:val="TableNormal0"/>
    <w:tblPr>
      <w:tblStyleRowBandSize w:val="1"/>
      <w:tblStyleColBandSize w:val="1"/>
      <w:tblCellMar>
        <w:top w:w="0" w:type="dxa"/>
        <w:left w:w="10" w:type="dxa"/>
        <w:bottom w:w="0" w:type="dxa"/>
        <w:right w:w="10" w:type="dxa"/>
      </w:tblCellMar>
    </w:tblPr>
  </w:style>
  <w:style w:type="table" w:customStyle="1" w:styleId="afff2">
    <w:basedOn w:val="TableNormal0"/>
    <w:tblPr>
      <w:tblStyleRowBandSize w:val="1"/>
      <w:tblStyleColBandSize w:val="1"/>
      <w:tblCellMar>
        <w:top w:w="0" w:type="dxa"/>
        <w:left w:w="10" w:type="dxa"/>
        <w:bottom w:w="0" w:type="dxa"/>
        <w:right w:w="10" w:type="dxa"/>
      </w:tblCellMar>
    </w:tblPr>
  </w:style>
  <w:style w:type="table" w:customStyle="1" w:styleId="afff3">
    <w:basedOn w:val="TableNormal0"/>
    <w:tblPr>
      <w:tblStyleRowBandSize w:val="1"/>
      <w:tblStyleColBandSize w:val="1"/>
      <w:tblCellMar>
        <w:top w:w="0" w:type="dxa"/>
        <w:left w:w="10" w:type="dxa"/>
        <w:bottom w:w="0" w:type="dxa"/>
        <w:right w:w="10" w:type="dxa"/>
      </w:tblCellMar>
    </w:tblPr>
  </w:style>
  <w:style w:type="table" w:customStyle="1" w:styleId="afff4">
    <w:basedOn w:val="TableNormal0"/>
    <w:tblPr>
      <w:tblStyleRowBandSize w:val="1"/>
      <w:tblStyleColBandSize w:val="1"/>
      <w:tblCellMar>
        <w:top w:w="0" w:type="dxa"/>
        <w:left w:w="10" w:type="dxa"/>
        <w:bottom w:w="0" w:type="dxa"/>
        <w:right w:w="10" w:type="dxa"/>
      </w:tblCellMar>
    </w:tblPr>
  </w:style>
  <w:style w:type="table" w:customStyle="1" w:styleId="afff5">
    <w:basedOn w:val="TableNormal0"/>
    <w:tblPr>
      <w:tblStyleRowBandSize w:val="1"/>
      <w:tblStyleColBandSize w:val="1"/>
      <w:tblCellMar>
        <w:top w:w="0" w:type="dxa"/>
        <w:left w:w="10" w:type="dxa"/>
        <w:bottom w:w="0" w:type="dxa"/>
        <w:right w:w="10" w:type="dxa"/>
      </w:tblCellMar>
    </w:tblPr>
  </w:style>
  <w:style w:type="table" w:customStyle="1" w:styleId="afff6">
    <w:basedOn w:val="TableNormal0"/>
    <w:tblPr>
      <w:tblStyleRowBandSize w:val="1"/>
      <w:tblStyleColBandSize w:val="1"/>
      <w:tblCellMar>
        <w:top w:w="0" w:type="dxa"/>
        <w:left w:w="10" w:type="dxa"/>
        <w:bottom w:w="0" w:type="dxa"/>
        <w:right w:w="10" w:type="dxa"/>
      </w:tblCellMar>
    </w:tblPr>
  </w:style>
  <w:style w:type="table" w:customStyle="1" w:styleId="afff7">
    <w:basedOn w:val="TableNormal0"/>
    <w:tblPr>
      <w:tblStyleRowBandSize w:val="1"/>
      <w:tblStyleColBandSize w:val="1"/>
      <w:tblCellMar>
        <w:top w:w="0" w:type="dxa"/>
        <w:left w:w="10" w:type="dxa"/>
        <w:bottom w:w="0" w:type="dxa"/>
        <w:right w:w="10" w:type="dxa"/>
      </w:tblCellMar>
    </w:tblPr>
  </w:style>
  <w:style w:type="table" w:customStyle="1" w:styleId="afff8">
    <w:basedOn w:val="TableNormal0"/>
    <w:tblPr>
      <w:tblStyleRowBandSize w:val="1"/>
      <w:tblStyleColBandSize w:val="1"/>
      <w:tblCellMar>
        <w:top w:w="0" w:type="dxa"/>
        <w:left w:w="10" w:type="dxa"/>
        <w:bottom w:w="0" w:type="dxa"/>
        <w:right w:w="10" w:type="dxa"/>
      </w:tblCellMar>
    </w:tblPr>
  </w:style>
  <w:style w:type="table" w:customStyle="1" w:styleId="afff9">
    <w:basedOn w:val="TableNormal0"/>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c.europa.eu/info/funding-tenders/opportunities/docs/2021-2027/common/guidance/aga_en.pdf" TargetMode="External"/><Relationship Id="rId18" Type="http://schemas.openxmlformats.org/officeDocument/2006/relationships/hyperlink" Target="https://ec.europa.eu/info/funding-tenders/opportunities/docs/2021-2027/common/guidance/aga_e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info/funding-tenders/opportunities/docs/2021-2027/common/guidance/aga_en.pdf" TargetMode="External"/><Relationship Id="rId17" Type="http://schemas.openxmlformats.org/officeDocument/2006/relationships/hyperlink" Target="https://ec.europa.eu/info/funding-tenders/opportunities/docs/2021-2027/common/guidance/aga_en.pdf" TargetMode="External"/><Relationship Id="rId2" Type="http://schemas.openxmlformats.org/officeDocument/2006/relationships/numbering" Target="numbering.xml"/><Relationship Id="rId16" Type="http://schemas.openxmlformats.org/officeDocument/2006/relationships/hyperlink" Target="https://ec.europa.eu/info/funding-tenders/opportunities/docs/2021-2027/common/guidance/aga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docs/2021-2027/common/guidance/aga_en.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c.europa.eu/info/funding-tenders/opportunities/docs/2021-2027/common/guidance/aga_en.pdf" TargetMode="External"/><Relationship Id="rId19" Type="http://schemas.openxmlformats.org/officeDocument/2006/relationships/hyperlink" Target="https://ec.europa.eu/info/funding-tenders/opportunities/docs/2021-2027/common/guidance/aga_en.pdf" TargetMode="External"/><Relationship Id="rId4" Type="http://schemas.openxmlformats.org/officeDocument/2006/relationships/settings" Target="settings.xml"/><Relationship Id="rId9" Type="http://schemas.openxmlformats.org/officeDocument/2006/relationships/hyperlink" Target="https://ec.europa.eu/info/funding-tenders/opportunities/docs/2021-2027/common/guidance/aga_en.pdf" TargetMode="External"/><Relationship Id="rId14" Type="http://schemas.openxmlformats.org/officeDocument/2006/relationships/hyperlink" Target="https://ec.europa.eu/info/funding-tenders/opportunities/docs/2021-2027/common/guidance/ag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PyQMKwfOWG3AeISLk3joXYeuug==">CgMxLjAyDmguOXVxMmVpaWR6MWc3Mg5oLnRvMzV0NzgzcjRkazIOaC5yM21xaTg2NzZnYTYyD2lkLmp2dHBxOTRkOGtyMjIOaC5lbXppNDBhdmp0YXo4AHIhMVUtdFp3bWxVWGV0VFhhTE5hWFNBdTg0OUl4ajloOEdT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54320</Words>
  <Characters>30963</Characters>
  <Application>Microsoft Office Word</Application>
  <DocSecurity>0</DocSecurity>
  <Lines>258</Lines>
  <Paragraphs>170</Paragraphs>
  <ScaleCrop>false</ScaleCrop>
  <Company/>
  <LinksUpToDate>false</LinksUpToDate>
  <CharactersWithSpaces>85113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LUPTOVSKA Jarmila (SJ)</dc:creator>
  <cp:lastModifiedBy>Кришка Наталія Валеріївна</cp:lastModifiedBy>
  <cp:revision>2</cp:revision>
  <dcterms:created xsi:type="dcterms:W3CDTF">2025-10-14T09:00:00Z</dcterms:created>
  <dcterms:modified xsi:type="dcterms:W3CDTF">2025-10-14T09:00:00Z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0x010100258AA79CEB83498886A3A08681123250009495C094420DC3419FA4242D214C4DFE</vt:lpwstr>
  </property>
  <property fmtid="{D5CDD505-2E9C-101B-9397-08002B2CF9AE}" pid="3" name="EC_Collab_Status">
    <vt:lpwstr>Not Started</vt:lpwstr>
  </property>
  <property fmtid="{D5CDD505-2E9C-101B-9397-08002B2CF9AE}" pid="4" name="Status">
    <vt:lpwstr>͏͏͏͏</vt:lpwstr>
  </property>
  <property fmtid="{D5CDD505-2E9C-101B-9397-08002B2CF9AE}" pid="5" name="EC_Collab_DocumentLanguage">
    <vt:lpwstr>EN</vt:lpwstr>
  </property>
  <property fmtid="{D5CDD505-2E9C-101B-9397-08002B2CF9AE}" pid="6" name="Group">
    <vt:lpwstr>00 CORPORATE MASTERFILES</vt:lpwstr>
  </property>
  <property fmtid="{D5CDD505-2E9C-101B-9397-08002B2CF9AE}" pid="7" name="Category">
    <vt:lpwstr>5. Other</vt:lpwstr>
  </property>
  <property fmtid="{D5CDD505-2E9C-101B-9397-08002B2CF9AE}" pid="8" name="Order0">
    <vt:r8>20</vt:r8>
  </property>
  <property fmtid="{D5CDD505-2E9C-101B-9397-08002B2CF9AE}" pid="9" name="Status0">
    <vt:lpwstr>Ready for BUDG review</vt:lpwstr>
  </property>
  <property fmtid="{D5CDD505-2E9C-101B-9397-08002B2CF9AE}" pid="10" name="DocAuthor0">
    <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2023-06-29T09:24:15Z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6c019f54-f3b8-49e8-bf3c-a2500f4a1bb3</vt:lpwstr>
  </property>
  <property fmtid="{D5CDD505-2E9C-101B-9397-08002B2CF9AE}" pid="17" name="MSIP_Label_6bd9ddd1-4d20-43f6-abfa-fc3c07406f94_ContentBits">
    <vt:lpwstr>0</vt:lpwstr>
  </property>
</Properties>
</file>